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A-7094/2010 vom 21. Januar 2011</w:t>
      </w:r>
    </w:p>
    <w:p>
      <w:r>
        <w:t>Bundesverwaltungsgericht, 2011-01-21, FR</w:t>
      </w:r>
    </w:p>
    <w:p>
      <w:r>
        <w:rPr>
          <w:b/>
        </w:rPr>
        <w:t xml:space="preserve">Quelle: </w:t>
      </w:r>
      <w:r>
        <w:t>https://mcp.opencaselaw.ch/entscheid/bvger_A-7094_2010</w:t>
      </w:r>
    </w:p>
    <w:p>
      <w:r>
        <w:t>FR: TAF A-7094/2010 du 21 janvier 2011</w:t>
      </w:r>
    </w:p>
    <w:p>
      <w:r>
        <w:t>IT: TAF A-7094/2010 del 21 gennaio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Il y a dès lors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A-4936/2010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E-6525/2009 du 29 juin 2010 consid. 5.2.2 et les références citées).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3.1</w:t>
      </w:r>
    </w:p>
    <w:p>
      <w:r>
        <w:t>La recourante se plaint notamment d'un défaut de motivation de la décision litigieuse, faisant valoir que l'autorité inférieure n'aurait pas mentionné les motifs qui l'ont amenée à conclure que la recourante pouvait être soupçonnée d'avoir commis une « fraude ou un délit semblable ». Elle estime ne pas être en mesure de comprendre les raisons qui ont guidé l'AFC à se déterminer comme elle l'a fait. En cela, elle invoque une violation de son droit d'être entendu. Or, en raison du caractère formel de ce droit - dont la violation entraîne en principe l'annulation de la décision attaquée sans égard aux chances de succès du recours sur le fond (cf. ATF 134 V 97, 127 V 431 consid. 3d/aa; ANDREAS AUER/GIORGIO MALINVERNI/MICHEL HOTTELIER, Droit constitutionnel suisse, vol. II, Les droits fondamentaux, 2e éd., Berne 2006, ch. 1346) - il convient d'examiner ce grief en premier lieu (cf. ATF 124 I 49 consid. 1; arrêt du Tribunal administratif fédéral A- 6668/2010 du 6 décembre 2010 consid. 4.1).</w:t>
      </w:r>
    </w:p>
    <w:p>
      <w:r>
        <w:rPr>
          <w:b/>
        </w:rPr>
        <w:t>E. 3.2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arrêts du Tribunal administratif fédéral A- 6668/2010 du 6 décembre 2010 consid. 4.2 et les références citées, C-5202/2007 du 30 novembre 2010 consid. 4.2; ANDRÉ GRISEL, Traité de droit administratif, Neuchâtel 1984, vol. I et II, p. 380 ss et 840 ss).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134 I 83 consid. 4.1, 126 I 97 consid. 2b, 121 I 54 consid. 2c; ATAF 2009/35 consid. 6.4.1; arrêts du Tribunal administratif fédéral A-3939/2010 du 18 octobre 2010 consid. 4.1 et C-17/2010 du 13 juillet 2010 consid. 3.1; MOOR, op. cit., ch. 2.2.7.3 p. 281).</w:t>
      </w:r>
    </w:p>
    <w:p>
      <w:r>
        <w:rPr>
          <w:b/>
        </w:rPr>
        <w:t>E. 3.3</w:t>
      </w:r>
    </w:p>
    <w:p>
      <w:r>
        <w:t>En l'espèce, la décision entreprise énonce les raisons pour lesquelles l'entraide administrative est accordée. L'autorité intimée y explique en particulier que l'entraide est accordée lorsqu'il existe des soupçons sérieux quant à la commission de « fraudes et délits semblables » et les conditions qui doivent être remplies à cet effet (c'est-à-dire, en résumé, omission de déclarer les revenus au moyen du formulaire W-9 pendant une période de trois ans consécutifs et critères relatifs au montant des revenus; cf. les explications qui figurent au consid. 3a de la décision entreprise). Elle retient ensuite qu'aucun élément n'indique que le formulaire W-9 avait été remis et que les critères relatifs aux revenus sont remplis compte tenu des gains en capitaux d'au moins CHF 331'568.-- réalisés. Elle considère ainsi que toutes les conditions de la catégorie de 2/A/b concernée sont remplies (cf. consid. 4 de la décision entreprise). Aussi - sur la base des indications détaillée figurant dans la décision attaquée - la recourante était en mesure de saisir les motifs qui ont guidé l'autorité inférieure. Contrairement à ce qu'elle prétend, ladite autorité a expliqué pourquoi en l'occurrence l'intéressée était soupçonnée d'avoir commis des « fraudes et délits semblables ». En définitive, la décision attaquée satisfait aux exigences de motivation découlant du droit d'être entendu. Le grief de la recourante doit être écarté.</w:t>
      </w:r>
    </w:p>
    <w:p>
      <w:r>
        <w:rPr>
          <w:b/>
        </w:rPr>
        <w:t>E. 4</w:t>
      </w:r>
    </w:p>
    <w:p>
      <w:r>
        <w:t>Il reste à se prononcer sur le bien-fondé matériel de la décision querellée. A cet égard, la recourante conteste la validité et l'applicabilité de la Convention 10, qui viole - selon elle - le droit au respect de la sphère privée, ainsi que le principe de l'interdiction de la rétroactivité.</w:t>
      </w:r>
    </w:p>
    <w:p>
      <w:r>
        <w:rPr>
          <w:b/>
        </w:rPr>
        <w:t>E. 4.1.1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A-6053/2010 du 10 janvier 2011 consid. 2.1 et A-4876/2010 du 11 octobre 2010 consid. 3.1).</w:t>
      </w:r>
    </w:p>
    <w:p>
      <w:r>
        <w:rPr>
          <w:b/>
        </w:rPr>
        <w:t>E. 4.1.2</w:t>
      </w:r>
    </w:p>
    <w:p>
      <w:r>
        <w:t>Concernant plus précisément la relation entre les différentes conventions (la Convention 10, la CDI-US 96 [en particulier son art. 26] et la CEDH [en particulier son art. 8]),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celui-ci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w:t>
      </w:r>
    </w:p>
    <w:p>
      <w:r>
        <w:rPr>
          <w:b/>
        </w:rPr>
        <w:t>E. 4.1.3</w:t>
      </w:r>
    </w:p>
    <w:p>
      <w:r>
        <w:t>Le Tribunal de céans a également exposé, dans l'arrêt A- 4013/2010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 du Tribunal administratif fédéral A-4876/2010 du 11 octobre 2010 consid. 3.1).</w:t>
      </w:r>
    </w:p>
    <w:p>
      <w:r>
        <w:rPr>
          <w:b/>
        </w:rPr>
        <w:t>E. 4.1.4</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A- 4876/2010 du 11 octobre 2010 consid. 3.1).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 du Tribunal administratif fédéral A-4904/2010 du 11 janvier 2011 consid. 4.2).</w:t>
      </w:r>
    </w:p>
    <w:p>
      <w:r>
        <w:rPr>
          <w:b/>
        </w:rPr>
        <w:t>E. 4.1.5</w:t>
      </w:r>
    </w:p>
    <w:p>
      <w:r>
        <w:t>En résumé,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 les calculs de l'AFC sont erronés (cf. arrêt du Tribunal administratif fédéral A-4013/2010 du 15 juillet 2010 consid. 8.3.3 et les références citées; cf. également arrêt du Tribunal administratif fédéral A-4876/2010 du 11 octobre 2010 consid. 3.1).</w:t>
      </w:r>
    </w:p>
    <w:p>
      <w:r>
        <w:rPr>
          <w:b/>
        </w:rPr>
        <w:t>E. 4.2</w:t>
      </w:r>
    </w:p>
    <w:p>
      <w:r>
        <w:t>En l'espèce, il y a lieu de constater, à la lumière des arrêts susdits, que les objections suivantes relatives à la validité et à l'applicabilité de la Convention 10 peuvent sans autre être écartées : violation du droit au respect de la sphère privée (cf. art. 13 Cst. et art. 8 CEDH), ainsi que violation du principe de l'interdiction de la rétroactivité.</w:t>
      </w:r>
    </w:p>
    <w:p>
      <w:r>
        <w:rPr>
          <w:b/>
        </w:rPr>
        <w:t>E. 5</w:t>
      </w:r>
    </w:p>
    <w:p>
      <w:r>
        <w:t>La recourante conteste la méthode de calcul employée par l'AFC pour déterminer si le seuil de la moyenne annuelle sur trois ans de CHF 100'000.-- était dépassé dans son cas. Elle relève à cet égard que l'autorité inférieure a - quant au calcul des revenus annuels moyens sur trois ans - appliqué un quotient de 25% à deux transactions intitulées « fonds », de 12.5% à une transaction intitulées « fonds » et de 50% à toutes les autres transactions intitulées, respectivement, « fonds » et « vente d'actions ». La recourante soutient que la décision attaquée ne mentionne pas les raison pour lesquelles un quotient plutôt qu'un autre a été retenu. En outre, elle estime que le quotient de 12.5% aurait dû être appliqué à toutes les transactions intitulées « fonds » et que l'AFC a fait preuve d'arbitraire en n'appliquant pas systématiquement ce pourcentage.</w:t>
      </w:r>
    </w:p>
    <w:p>
      <w:r>
        <w:rPr>
          <w:b/>
        </w:rPr>
        <w:t>E. 5.1</w:t>
      </w:r>
    </w:p>
    <w:p>
      <w:r>
        <w:t>Une décision est arbitraire lorsqu'elle viole gravement une norme ou un principe juridique clair et indiscuté, ou lorsqu'elle contredit d'une manière choquante le sentiment de la justice et de l'équité. Le Tribunal administratif fédéral ne s'écarte de la solution retenue par l'autorité inférieure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(cf. ATF 136 III 353 consid. 4, 133 I 149 consid. 3.1, 132 III 209 consid. 2.1, 131 I 57 consid. 2, 129 I 217 consid. 2.1, 129 I 8 consid. 2.1, 129 I 173 consid. 3.1 et les références citées). Lorsque la partie recourante s'en prend à l'appréciation des preuves et à l'établissement des faits, la décision n'est arbitraire que si l'autorité inférieure n'a manifestement pas compris le sens et la portée d'un moyen de preuve, si elle a omis, sans raison sérieuse, de tenir compte d'un moyen important propre à modifier la décision attaquée ou encore si, sur la base des éléments recueillis, elle a fait des déductions insoutenables (cf. ATF 129 I 8 consid. 2.1; cf. également ATF 135 IV 121 consid. 3.4.1 et les références citées).</w:t>
      </w:r>
    </w:p>
    <w:p>
      <w:r>
        <w:rPr>
          <w:b/>
        </w:rPr>
        <w:t>E. 5.2</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administrative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de « tax fraud or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5.3</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4.1.5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gains effectivement générés et/ou en fonction d'un autre quotient que celui de 50% (du produit brut des ventes réalisées) prévu dans l'annexe à la Convention 10 ne pouvait notamment pas être suivi.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consid.8.3.3 et les références citées).</w:t>
      </w:r>
    </w:p>
    <w:p>
      <w:r>
        <w:rPr>
          <w:b/>
        </w:rPr>
        <w:t>E. 5.4</w:t>
      </w:r>
    </w:p>
    <w:p>
      <w:r>
        <w:t>Contrairement à l'opinion de la recourante, c'est sans arbitraire que l'AFC n'a pas appliqué le quotient de 12.5% à toutes les transactions intitulées « fonds ». En effet, conformément aux critères définis dans l'annexe à la Convention 10, l'AFC se devait de calculer les gains en capital en prenant en compte - pour toutes les ventes réalisées durant la période considérée sur le compte détenu par la recourante auprès d'UBS SA - le 50% du produit brut. Ainsi, en appliquant - vraisemblablement dans le but d'appréhender avec plus d'exactitude la réalité - un quotient de 25% à deux transactions et un quotient de 12.5% à une transaction, alors que le quotient de 50% prescrit par l'annexe à la Convention 10 était appliqué pour toutes les autres transactions, l'AFC a calculé les revenus annuels moyens d'une manière plus favorable à la recourante que celle imposée par la Convention 10. En effet, selon les conditions définies dans ledit traité, il convient de prendre en considération le 50% du produit brut réalisé, indépendamment du résultat comptable effectif. Les griefs de la recourante quant à la détermination du seuil de la moyenne annuelle sur trois ans de plus de CHF 100'000.-- sont dès lors mal fondés.</w:t>
      </w:r>
    </w:p>
    <w:p>
      <w:r>
        <w:rPr>
          <w:b/>
        </w:rPr>
        <w:t>E. 6</w:t>
      </w:r>
    </w:p>
    <w:p>
      <w:r>
        <w:t>Durant la période en cause, la recourante avait son domicile aux Etats-Unis. Elle était titulaire du compte UBS numéro ***. Elle remplit ainsi les conditions de la Convention 10 relatives à sa personne, ce qu'elle ne conteste d'ailleurs pas. Le seuil du million de francs suisses a été dépassé le 31 décembre 2003 selon la décision de l'AFC du 23 août 2010. La recourante ne le conteste pas non plus. Elle ne prétend au demeurant pas avoir rempli les formulaires W-9. D'après la décision entreprise, des gains en capital d'au moins CHF 331'568.-- ont été réalisés durant la période de 2003 à 2004. Le seuil relatif aux revenus annuels moyens sur trois ans a ainsi été dépassé durant les années 2002 à 2004. Les chiffres fournis par l'autorité inférieure ne sont pas contestés par la recourante, sauf en ce qui concerne le mode de calcul des gains en capital. Or, on vient de voir que la manière dont l'AFC a calculé lesdits gains était favorable à la recourante, puisque le quotient de 50% aurait dû être appliqué à toutes les transactions (cf. consid. 5.3 et 5.4 ci-avant). La recourante ne fait pas non plus valoir que l'autorité inférieure aurait fait des erreurs de calculs ou d'addition. Tous les critères de la catégorie 2/A/b sont ainsi remplis et c'est dès lors à juste titre que l'AFC a décidé d'accorder l'entraide administrative sollicitée.</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