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A-7094/2008 vom 7. Juli 2010</w:t>
      </w:r>
    </w:p>
    <w:p>
      <w:r>
        <w:t>Bundesverwaltungsgericht, 2010-07-07, DE</w:t>
      </w:r>
    </w:p>
    <w:p>
      <w:r>
        <w:rPr>
          <w:b/>
        </w:rPr>
        <w:t xml:space="preserve">Quelle: </w:t>
      </w:r>
      <w:r>
        <w:t>https://mcp.opencaselaw.ch/entscheid/bvger_A-7094_2008</w:t>
      </w:r>
    </w:p>
    <w:p>
      <w:r>
        <w:t>FR: TAF A-7094/2008 du 7 juillet 2010</w:t>
      </w:r>
    </w:p>
    <w:p>
      <w:r>
        <w:t>IT: TAF A-7094/2008 del 7 luglio 2010</w:t>
      </w:r>
    </w:p>
    <w:p>
      <w:pPr>
        <w:pStyle w:val="Heading2"/>
      </w:pPr>
      <w:r>
        <w:t>Regeste</w:t>
      </w:r>
    </w:p>
    <w:p>
      <w:r>
        <w:t>Stempelabgaben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Auf die form- und fristgerecht eingereichte Beschwerde ist somit - mit der nachfolgend in E. 1.2 gemachten Einschränkung - einzutreten. Soweit das VGG nichts anderes bestimmt, richtet sich gemäss dessen Art. 37 das Verfahren nach dem VwVG.</w:t>
      </w:r>
    </w:p>
    <w:p>
      <w:r>
        <w:rPr>
          <w:b/>
        </w:rPr>
        <w:t>E. 1.2</w:t>
      </w:r>
    </w:p>
    <w:p>
      <w:r>
        <w:t>Gemäss Art. 25 Abs. 1 VwVG kann die in der Sache zuständige Behörde über den Bestand, den Nichtbestand oder den Umfang öffentlichrechtlicher Rechte und Pflichten auf Begehren oder von Amtes wegen eine Feststellungsverfügung treffen. Einem derartigen Begehren ist nach Art. 25 Abs. 2 VwVG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114 V 203; statt vieler: Urteil des Bundesverwaltungsgerichts A-2605/2008 vom 29. April 2010 E. 1.2 mit weiteren Hinweisen; vgl. schon René Rhinow/Beat Krähenmann, Schweizerische Verwaltungsrechtsprechung, Ergänzungsband, Basel und Frankfurt am Main 1990, Nr. 36, S. 109 f.). Die Beschwerdeführerin beantragt u.a., es sei festzustellen, dass der Verkauf ihrer Aktien nicht als Mantelhandel zu qualifizieren und keine Emissionsabgabe geschuldet sei. Weiter beantragt sie eventualiter, "sofern ein Mantelhandel vorliegen sollte, sei festzustellen, dass das Reinvermögen der X._______ per 15. Dezember 2007" (recte: 2006) Fr. 123'912.-- betragen habe. Es kann jedoch bereits anhand des Leistungsbegehrens der Beschwerdeführerin entschieden werden, ob die beanstandete Steuerforderung zu Recht besteht, was das Feststellungsinteresse hinfällig werden lässt (vgl. auch Urteil des Bundesgerichts 2A.90/1999 vom 26. Februar 2001 E. 1; Urteil des Bundesverwaltungsgerichts A-710/2007 vom 24. September 2009 E. 1.3). Somit fallen die verlangten Feststellungen nicht unter Art. 25 Abs. 1 VwVG, weshalb darauf nicht einzutreten ist.</w:t>
      </w:r>
    </w:p>
    <w:p>
      <w:r>
        <w:rPr>
          <w:b/>
        </w:rPr>
        <w:t>E. 2.1</w:t>
      </w:r>
    </w:p>
    <w:p>
      <w:r>
        <w:t>Die entgeltliche oder unentgeltliche Begründung und Erhöhung des Nennwerts von Beteiligungsrechten in Form von Aktien inländischer Aktiengesellschaften unterliegt nach Art. 5 Abs. 1 StG der Emissionsabgabe. Die Stempelabgabe ist eine Kapitalverkehrssteuer, die an bestimmte, im Gesetz umschriebene Vorgänge des Rechtsverkehrs anknüpft. Für ihre Festsetzung ist der wirkliche Inhalt der Urkunden oder Rechtsvorgänge massgebend. Dem formalen Charakter dieser Steuer entspricht, dass für die Abgabepflicht die rechtliche Gestaltung eines Geschäfts entscheidend ist und nicht der von den Beteiligten verfolgte wirtschaftliche Zweck. Die Verwaltung darf sich deshalb grundsätzlich nicht von der wirtschaftlichen Betrachtungsweise leiten lassen. Eine Ausnahme gilt dort, wo das Gesetz selber wirtschaftlich geprägte Begriffe und Umschreibungen verwendet, insbesondere im Zusammenhang mit Art. 5 Abs. 2 Bst. b StG, d.h. bei der Umschreibung des sog. Mantelhandels (vgl. Urteil des Bundesgerichts vom 5. Februar 1996, veröffentlicht in Archiv für Schweizerisches Abgaberecht [ASA] 65 S. 666 E. 3a mit Hinweisen). Gemäss dieser Vorschrift ist der Begründung von Beteiligungsrechten im Sinn von Art. 5 Abs. 1 StG der Handwechsel der Mehrheit der Aktien einer inländischen Gesellschaft gleichgestellt, die wirtschaftlich liquidiert oder in liquide Form gebracht worden ist. Mit der Gleichstellung soll verhindert werden, dass die Aktien stillgelegter Gesellschaften bei Inbetriebnahme einer Gesellschaft mit verändertem Gesellschaftszweck verwendet werden, ohne dass die bei einer Neugründung anfallende Emissionsabgabe entrichtet wird. Der Verkauf eines Aktienmantels ist somit der Emissionsabgabe unterworfen (vgl. dazu schon Urteil des Bundesgerichts vom 5. Mai 1993, veröffentlicht in ASA 62 S. 628 E. 2b mit Hinweisen; Urteil des Bundesgerichts 2C_349/2008 vom 14. November 2008 E. 2.4).</w:t>
      </w:r>
    </w:p>
    <w:p>
      <w:r>
        <w:rPr>
          <w:b/>
        </w:rPr>
        <w:t>E. 2.1.1</w:t>
      </w:r>
    </w:p>
    <w:p>
      <w:r>
        <w:t>Unter einem solchen Mantelhandel verstehen Lehre und Praxis die Veräusserung von Beteiligungen an Gesellschaften, die wirtschaftlich liquidiert oder in liquide Form gebracht worden sind, wobei sie zum einen ihren Geschäftsbetrieb eingestellt, zum andern aber - ohne formell gefassten und im Handelsregister eingetragenen Auflösungsbeschluss - ihre Aktiven liquidiert haben. Auch eine Aktiengesellschaft, die auf der Aktivseite der Bilanz noch gewisse Werte ausweist, kann im Sinn dieser Bestimmung "wirtschaftlich liquidiert oder in liquide Form gebracht" worden sein. Nach erfolgtem Mantelerwerb werden regelmässig Zweck und Firma der Gesellschaft geändert und wird der Verwaltungsrat ausgewechselt. Den Liquidationsüberschuss zahlt die Gesellschaft beim Mantelhandel zwar nicht aus; er verbleibt ihr vielmehr in Form liquider Mittel. Er wird aber durch den übernehmenden dem abtretenden Aktionär als Preis für die erworbenen Aktien ausbezahlt, soweit dieser den Anteil am einbezahlten Grundkapital übersteigt. Der entsprechende Teil des Kaufpreises wird in "wirtschaftlicher Betrachtungsweise" als Liquidationsgewinn der Verrechnungssteuer unterstellt (Urteil des Bundesgerichts 2C_349/2008 vom 14. November 2008 E. 2.4; vgl. zum Ganzen statt vieler: Urteile des Bundesgerichts vom 5. Februar 1996, veröffentlicht in ASA 65 S. 666 E. 2a u. 3c, vom 5. Mai 1993, veröffentlicht in ASA 62 S. 628 E. 2b, vom 24. Februar 1984, veröffentlicht in ASA 52 S. 649 E. 1 u. 2; siehe ferner betreffend die Verrechnungssteuer: Urteil des Bundesgerichts vom 16. September 1986, veröffentlicht in ASA 55 S. 646 E. 2a, je mit Hinweisen; siehe auch Urteil des Bundesgerichts vom 26. August 2008, veröffentlicht in Revue de droit administrattif et de droit fiscal [RDAF] 2008 II 247 E. 5.1).</w:t>
      </w:r>
    </w:p>
    <w:p>
      <w:r>
        <w:rPr>
          <w:b/>
        </w:rPr>
        <w:t>E. 2.1.2</w:t>
      </w:r>
    </w:p>
    <w:p>
      <w:r>
        <w:t>Gemäss einhelliger Lehre und Rechtsprechung des Bundesgerichts müssen für das Vorliegen eines Mantelhandels zwei Voraussetzungen kumulativ erfüllt sein. Als erstes muss ein Handwechsel der Mehrheit der Aktien, Stammanteilen oder Genossenschaftsanteile an einer inländischen Gesellschaft oder Genossenschaft vorliegen. Die zweite Voraussetzung besteht darin, dass die betroffene Gesellschaft oder Genossenschaft wirtschaftlich liquidiert wurde oder ihre Aktiven in liquide Form gebracht worden sind (Urteil des Bundesgerichts 2C_349/2008 vom 14. November 2008 E. 2.4; vgl. zum Ganzen statt vieler: Urteile des Bundesgerichts vom 5. Februar 1996, veröffentlicht in ASA 65 S. 666 E. 2a u. 3c, vom 5. Mai 1993, veröffentlicht in ASA 62 S. 628 E. 2b; Thomas Jaussi/Roland Schweighauser/Markus Pfirter, Die eidg. Stempelabgaben, Muri/Bern 2007, S. 33; Jean-Blaise Eckert/ Jérôme Piguet, in: Oberson/Hinny [Hrsg.], Kommentar zum Bundesgesetz über die Stempelabgaben, Zürich etc. 2006, N 50 zu Art. 5 StG; Marco Duss/Julia von Ah/Roman Sieber, in: Zweifel/Athanas/Bauer-Balmelli [Hrsg.], Kommentar zum schweizerischen Steuerrecht, Band II/3, Bundesgesetz über die Stempelabgaben, Basel 2006, N 77 zu Art. 5 StG; Conrad Stockar, Übersicht und Fallbeispiele zu den Stempelabgaben und zur Verrechnungssteuer, 4. Aufl., Therwil/Basel 2006, S. 41; vgl. ferner Botschaft des Bundesrates vom 25. Oktober 1972 an die Bundesversammlung zu einem neuen Bundesgesetz über die Stempelabgaben, BBl 1972 II 1278 ff, 1290 [hiernach: Botschaft Stempelabgaben]). Diese beiden kumulativen Bedingungen gehen klar aus Art. 5 Abs. 2 Bst. b StG hervor.</w:t>
      </w:r>
    </w:p>
    <w:p>
      <w:r>
        <w:rPr>
          <w:b/>
        </w:rPr>
        <w:t>E. 2.2</w:t>
      </w:r>
    </w:p>
    <w:p>
      <w:r>
        <w:t>Es trifft zwar zu, dass der Gesetzgeber den Mantelhandel in der Absicht steuerbar erklärte, um Umgehungen der Emissionsabgabe zu verhindern (Botschaft des Bundesrates vom 23. Februar 1983 über die Revision des Aktienrechts, BBl 1983 II 745, S. 944 f.; Botschaft Stempelabgaben, S. 1290). Dieser Normzweck wird auch in der Rechtsprechung des Bundesgerichts erwähnt (vgl. E. 2.1 hievor und das dort zitierte Urteil des Bundesgerichts 2C_349/2008 vom 14. November 2008 E. 2.4; vgl. auch Urteil des Bundesgerichts vom 5. Mai 1993, veröffentlicht in ASA 62 S. 628 E. 2b). Daraus kann jedoch nicht abgeleitet werden, dass die Anwendung von Art. 5 Abs. 2 Bst. b StG das Vorliegen einer Absicht der Steuerumgehung voraussetze. Bereits in seiner Rechtsprechung zum alten Stempelsteuergesetz (Bundesgesetz vom 4. Oktober 1917 über die Stempelabgaben [aStG BS 6 101]), das in Art. 21 Abs. 2 (in der Fassung vom 22. Dezember 1917) eine Bestimmung zum Mantelhandel enthielt, hat das Bundesgericht in diesem Sinn argumentiert. Damals hielt es fest, die Absicht, Steuern zu umgehen, sei nach dem Wortlaut und Sinn von Art. 21 aStG nicht Voraussetzung der Abgabepflicht (BGE 90 I 151 E. I.1; Urteil des Bundesgerichts vom 7. Oktober 1949, veröffentlicht in ASA 19 S. 355 E. 1). Die Anwendung von Art. 21 Abs. 2 aStG unterliege keiner solchen Bedingung ("Il est enfin sans importance que la recourante n'ait pas eu l'intention d'éluder le paiement du timbre d'émission; l'application de l'art. 21 al. 2 LT n'est pas subordonnée à cette condition" [BGE 80 I 30 E. 2 S. 33]). Art. 5 Abs. 2 Bst. b StG bezieht sich ebensowenig auf den Rechtsmissbrauch wie Art. 21 Abs. 2 aStG. Die Bestimmung bezweckt die Verhinderung von Steuerumgehungen. Indessen ist die Absicht der Steuerumgehung nicht Voraussetzung der Abgabepflicht. Es genügt, dass der in Art. 5 Abs. 2 Bst. b StG umschriebene Tatbestand erfüllt ist (vgl. zum alten Stempelsteuergesetz: Urteil des Bundesgerichts vom 7. Oktober 1949, veröffentlicht in ASA 19 S. 355 E. 1). Somit ist festzuhalten, dass die Besteuerung als Mantelhandel keinen Nachweis voraussetzt, dass die Absicht besteht, mit dem Handwechsel der Mehrheit der Aktien einer Gesellschaft, die wirtschaftlich liquidiert oder in liquide Form gebracht worden ist, eine Besteuerung zu umgehen (Eckert/Piguet, a.a.O., N 53 zu Art. 5 StG). Ob aufgrund der Verobjektivierung eines Missbrauchstatbestandes geschlossen werden kann, Art. 5 Abs. 2 Bst. b StG unterliege nicht dem Vorbehalt der Steuerumgehung, wie dies in der Lehre z.T. postuliert wird (Duss/von Ah/Sieber, a.a.O., N 83 zu Art. 5 StG; a.M. Eckert/Piguet, a.a.O., N 53 zu Art. 5 StG), braucht nicht entschieden zu werden.</w:t>
      </w:r>
    </w:p>
    <w:p>
      <w:r>
        <w:rPr>
          <w:b/>
        </w:rPr>
        <w:t>E. 2.3</w:t>
      </w:r>
    </w:p>
    <w:p>
      <w:r>
        <w:t>Für die Belange der Stempelabgabe ist der Mantelhandel der Neugründung einer Gesellschaft oder Genossenschaft gleichgestellt. Zu entrichten ist somit die Emissionsabgabe, wie sie bei der Begründung von Beteiligungsrechten im Sinne von Art. 5 Abs. 1 Bst. a StG anfällt (DUSS/VON AH/SIEBER, a.a.O., N 102 zu Art. 5 StG; ECKERT/PIGUET, a.a.O., N 71 zu Art. 5 StG). Dementsprechend bestimmt Art. 8 Abs. 1 Bst. c StG, dass Bemessungsgrundlage für die Emissionsabgabe das gesamte Reinvermögen bildet, das sich im Zeitpunkt des Handwechsels in der Gesellschaft oder Genossenschaft befindet, mindestens aber der Nennwert aller bestehenden Beteiligungsrechte. Dabei kann der Freibetrag von 1 Million Franken gemäss Art. 6 Abs. 1 Bst. h StG beansprucht werden. Nur auf dem darüber liegenden Betrag wird die Emissionsabgabe von 1% erhoben (DUSS/VON AH/SIEBER, a.a.O., N 102 zu Art. 5 StG sowie N 30 zu Art. 8 StG; ECKERT/PIGUET, a.a.O., N 71 zu Art. 5 StG; Maja Bauer-Balmelli/Hans-Peter Hochreutener/Markus Küpfer [Hrsg.], Die Praxis der Bundessteuern, II. Teil: Stempelabgaben und Verrechnungssteuer, Band 1, Basel [Loseblattwerk], letzter Nachtrag [hiernach: Praxis], Nr. 5 zu Art. 6 Abs. 1 Bst. h StG; STOCKAR, a.a.O., S. 47).</w:t>
      </w:r>
    </w:p>
    <w:p>
      <w:r>
        <w:rPr>
          <w:b/>
        </w:rPr>
        <w:t>E. 2.4</w:t>
      </w:r>
    </w:p>
    <w:p>
      <w:r>
        <w:t>Das Reinvermögen der Gesellschaft oder Genossenschaft, welches primäre Berechnungsgrundlage bildet, entspricht dem Eigenkapital. Es besteht in der Differenz zwischen Aktiven und den Verbindlichkeiten (Duss/von Ah/Sieber, a.a.O., N 27 zu Art. 8 StG). Übersteigt das so ermittelte Reinvermögen der Gesellschaft oder Genossenschaft den Nennwert aller Beteiligungsrechte, kommt die Praxis zur Überpari-Emission zur Anwendung (vgl. Entscheid der Eidgenössischen Steuerrekurskommission [SRK] vom 22. Februar 2000, veröffentlicht in Verwaltungspraxis der Bundesbehörden [VPB] 64.79 E. 6a; Duss/von Ah/Sieber, a.a.O., N 28 zu Art. 8 StG).</w:t>
      </w:r>
    </w:p>
    <w:p>
      <w:r>
        <w:rPr>
          <w:b/>
        </w:rPr>
        <w:t>E. 3</w:t>
      </w:r>
    </w:p>
    <w:p>
      <w:r>
        <w:t>Im vorliegenden Fall ist unbestritten, dass die Gesellschaft im Hinblick auf den Verkauf ihrer Aktien vom 15. Dezember 2006 in liquide Form gebracht worden ist. Unumstritten ist weiter, dass am 15. Dezember 2006 eine Handänderung stattgefunden hat. Streitig ist einzig und allein, ob aufgrund der Gleichstellung des Mantelhandels mit der Begründung von Beteiligungsrechten - womit, wie soeben gesehen (vgl. E. 2 hiervor), verhindert werden soll, dass die Aktien stillgelegter Gesellschaften bei Inbetriebnahme einer Gesellschaft mit verändertem Gesellschaftszweck verwendet werden, ohne dass die bei einer Neugründung anfallende Emissionsabgabe entrichtet werden muss - ein zusätzliches Kriterium, nämlich jenes (der Absicht) der Steuerumghung, erfüllt sein muss.</w:t>
      </w:r>
    </w:p>
    <w:p>
      <w:r>
        <w:rPr>
          <w:b/>
        </w:rPr>
        <w:t>E. 3.1</w:t>
      </w:r>
    </w:p>
    <w:p>
      <w:r>
        <w:t>Die beiden erwähnten kumulativen Bedingungen (siehe dazu E. 2.1.2 und 2.2 hiervor) waren vorliegend unbestrittenermassen erfüllt. Weitere Voraussetzungen sind von Art. 5 Abs. 2 Bst. b StG nicht gefordert. Der am 15. Dezember 2006 vollzogene Verkauf der gesamten Aktien der in liquide Form gebrachten Gesellschaft unterliegt somit als Mantelhandel der Emissionsabgabe. Die dagegen vorgebrachte Argumente der Beschwerdeführerin dringen nicht durch: Es mag zwar sein, dass gemäss Praxis der ESTV zu Art. 5 Abs. 1 StG, auf Zuschüssen zwecks Sanierung an zu liquidierenden Gesellschaften die Emissionsabgabe nicht erhoben wird und die ESTV somit diesbezüglich u.U. eine wirtschaftliche Betrachtungsweise anwendet. Aus dieser Praxis, die indes nicht Streitgegenstand des vorliegenden Verfahrens ist, kann die Beschwerdeführerin aber nichts zu ihren Gunsten ableiten. Wie oben dargelegt (E. 2.1), verwendet das Gesetz selber in Art. 5 Abs. 2 Bst. b StG wirtschaftlich geprägte Begriffe und Umschreibungen. Auch wenn betreffend den Mantelhandel eine wirtschaftliche Betrachtungsweise erfolgt, bedeutet das nicht, dass bei einem Mantelhandel zwecks Fortführung der Liquidation Art. 5 Abs. 2 StG "wirtschaftlich" so ausgelegt werden muss, dass die Emissionsabgabe nicht erhoben werden darf. Wäre eine solche wirtschaftliche Betrachtungsweise "im weiteren Sinn" anwendbar, so gäbe es keinen Grund, den Mantelhandel im Gruppenverhältnis der Emissionsabgabe zu unterwerfen (Bauer-Balmelli/Hochreutener/Küpfer [Hrsg.], Praxis, Nr. 1, 3, 25 und 27 zu Art. 5 Abs. 2 Bst. b StG).</w:t>
      </w:r>
    </w:p>
    <w:p>
      <w:r>
        <w:rPr>
          <w:b/>
        </w:rPr>
        <w:t>E. 3.2</w:t>
      </w:r>
    </w:p>
    <w:p>
      <w:r>
        <w:t>Die ESTV hat auf die Bilanz der Beschwerdeführerin per 15. Dezember 2006 abgestellt. Wie oben dargelegt (siehe Sachverhalt B) hat die ESTV die Emissionsabgabe auf dem Aktienkapital (Fr. 103'260.--), den gesetzlichen Reserven (Fr. 20'652.--), dem Gewinnvortrag (Fr. 227'719'611.--) und der "Tax Provision" (Emissionsabgabe anlässlich des Mantelhandels) (Fr. 2'301'449.--) berechnet. Die Beschwerdeführerin ist jedoch der Ansicht, da ein Mantelhandel einer Neugründung gleichgestellt sei, müsse als Basis für die Berechnung der Emissionsabgabe der Betrag, welcher der Gesellschaft zufliesse, dienen (Art. 8 Abs. 1 Bst. a StG). Bei der Festlegung der Berechnungsbasis müsse auf wirtschaftliche Umstände Rücksicht genommen werden. Durch den Ex-Coupon-Verkauf der Gesellschaft stehe das Nutzungsrecht am laufenden Gewinnvortrag bis zum Verkaufszeitpunkt der ursprünglichen Aktionärin zu. Dies sei denn auch von der ESTV schriftlich bestätigt worden. Da die V._______ als neue Aktionärin der Gesellschaft keinen Anspruch auf den Gewinnvortrag für die Periode vom 1. Januar bis 15. Dezember 2006 gehabt habe, sondern einzig auf das nominelle Aktienkapital und die gesetzlichen Reserven, was auch dem bezahlten Kaufpreis entspreche, sei das Reinvermögen der Gesellschaft per 15. Dezember 2006 identisch mit dem Kaufpreis, welcher die V._______ bezahlt hatte. Somit sei aufgrund des Abzugs der Freigrenze von Fr. 1'000'000.-- keine Emissionsabgabe geschuldet. Ferner sei die Vorinstanz in ihrer Argumentation inkonsistent, indem sie die als Fremdkapital ausgewiesene "Tax Provision" in Eigenkapital umqualifiziere und somit eine wirtschaftliche und nicht eine formelle Betrachtung einnehme. Die ESTV habe im Übrigen in ihrer Praxis nie zinslose Darlehen in Eigenkapital umqualifiziert und darauf die Emissionsabgabe berechnet.</w:t>
      </w:r>
    </w:p>
    <w:p>
      <w:r>
        <w:rPr>
          <w:b/>
        </w:rPr>
        <w:t>E. 3.3</w:t>
      </w:r>
    </w:p>
    <w:p>
      <w:r>
        <w:t>Diese Argumentation der Beschwerdeführerin kann nicht gehört werden. Gemäss der vorliegenden Bilanz per 15. Dezember 2006 betrug der Gewinnvortrag Fr. 227'719'611.--. Gestützt auf Ziffer 7.1.1 des Aktienkaufvertrages vom 15. Dezember 2006 (bf. Beilage Nr. 5) verpflichtete sich denn auch die V._______, d.h. die Käuferin, diesen Betrag (abzüglich Überweisungskosten von Fr. 31.--) der Verkäuferin, d.h. der W._______, "als Gegenwert für deren Gewinnanspruch per Vollzugstermin bzw. anteilig zustehenden Dividendenertrag" zu leisten. Wirtschaftlich wie auch zivilrechtlich betrachtet, war der strittige Gewinnvortrag per 15. Dezember 2006 damit Teil des Reinvermögens der Gesellschaft. Daran ändert die eben genannte Verpflichtung der Käuferin nichts. Eine zukünftige Ausschüttung, über die sich vorliegend die beiden Parteien geeinigt haben, kann nicht schon im Zeitpunkt des Handwechsels der betroffenen Gesellschaft steuermindernd berücksichtigt werden. Das Reinvermögen der Gesellschaft im Zeitpunkt des Handwechsels umfasste somit auch den Gewinnvortrag im Betrag von Fr. 227'719'611.--. Im Weiteren betrafen die von der Beschwerdeführerin zitierten Urteile des Bundesgerichts die Emissionsabgabe nach Art. 8 StG auf dem Agio, das eine Aktiengesellschaft bei der Platzierung der von ihr geschaffenen Vorratsaktien bei den wahren Aktionären ("véritables actionnaires") realisiert hat (Urteil des Bundesgerichts vom 25. August 1998, veröffentlicht in ASA 67 S. 748 E. 4) bzw. die Emissionsabgabe auf Aktien im Falle der Umwandlung von Obligationen in Aktien (Wandelanleihen) (Urteil des Bundesgerichts vom 22. Dezember 1982, veröffentlicht in ASA 52 S. 158). Aus den erwähnten Urteilen kann die Beschwerdeführerin somit nichts zu ihren Gunsten ableiten, ging es doch darin nicht um die Emissionsabgabe bei Mantelhändeln. Was die "Tax Provision" im Betrag von Fr. 2'301'449.-- betrifft, hat die ESTV im Wesentlichen ausgeführt, dass wenn die "Tax Provision" als Fremdkapital ertragsmindernd berücksichtigt würde, dies einer zweimaligen Berücksichtigung der Emissionsabgabe gleichkäme. In der Tat hat die Vorinstanz bei der Berechnung des Reinvermögens die zu bezahlende Emissionsabgabe berücksichtigt, indem sie das steuerbare Reinvermögen, nach Aufrechnung der "Tax Provision" und Abzug der Freigrenze von Fr. 1'000'000.-- durch 101% geteilt und danach mit 100% multipliziert hat (siehe Sachverhalt B). Somit wurde bei der Festlegung des steuerbaren Betrags die zu bezahlende Emissionsabgabe von 1% berücksichtigt, d.h. abgezogen. Das Reinvermögen der Gesellschaft wurde korrekt berechnet. Das Vorbringen der Beschwerdeführerin, die ESTV habe in ihrer Praxis nie zinslose Darlehen in Eigenkapital umqualifiziert und die Emissionsabgabe eingefordert, ist ohnehin sachfremd, denn es betrifft nicht die (emissionsabgabe-)rechtliche Anerkennung von Rückstellungen.</w:t>
      </w:r>
    </w:p>
    <w:p>
      <w:r>
        <w:rPr>
          <w:b/>
        </w:rPr>
        <w:t>E. 4.1</w:t>
      </w:r>
    </w:p>
    <w:p>
      <w:r>
        <w:t>Damit ist die Beschwerde vollumfänglich abzuweisen, soweit darauf einzutreten ist (vgl. E. 1.2).</w:t>
      </w:r>
    </w:p>
    <w:p>
      <w:r>
        <w:rPr>
          <w:b/>
        </w:rPr>
        <w:t>E. 4.2</w:t>
      </w:r>
    </w:p>
    <w:p>
      <w:r>
        <w:t>Bei diesem Ausgang des Verfahrens hat die Beschwerdeführerin nach Art. 63 Abs. 1 VwVG die Verfahrenskosten zu tragen. Sie werden nach Art. 4 des Reglements vom 21. Februar 2008 über die Kosten und Entschädigungen vor dem Bundesverwaltungsgericht (VGKE, SR 173.320.2) auf Fr. 16'000.--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