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A-705/2008 vom 12. April 2010</w:t>
      </w:r>
    </w:p>
    <w:p>
      <w:r>
        <w:t>Bundesverwaltungsgericht, 2010-04-12, DE</w:t>
      </w:r>
    </w:p>
    <w:p>
      <w:r>
        <w:rPr>
          <w:b/>
        </w:rPr>
        <w:t xml:space="preserve">Quelle: </w:t>
      </w:r>
      <w:r>
        <w:t>https://mcp.opencaselaw.ch/entscheid/bvger_A-705_2008</w:t>
      </w:r>
    </w:p>
    <w:p>
      <w:r>
        <w:t>FR: TAF A-705/2008 du 12 avril 2010</w:t>
      </w:r>
    </w:p>
    <w:p>
      <w:r>
        <w:t>IT: TAF A-705/2008 del 12 aprile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Entscheid der ESTV vom 19. Dezember 2007 ist damit als eine beim Bundesverwaltungsgericht anzufechtende Verfügung zu qualifizieren. Auf die im Übrigen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Sinne von Art. 113 Abs. 3 MWSTG auf sämtliche im Zeitpunkt des Inkrafttretens hängige Verfahren anwendbar. Allerdings ist diese Norm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bestätigt u.a. mit Urteil des Bundesverwaltungsgerichts A-4360/2008 vom 4. März 2010 E. 1.2). Kein Verfahrensrecht in diesem engen Sinn stellen im vorliegenden Fall etwa die nachfolgend abgehandelten Themen wie die Buchführungspflicht, das Selbstveranlagungsprinzip, die Ermessensveranlagung oder gar der Verzugszins etc. dar, so dass vorliegend diesbezüglich noch altes Recht anwendbar ist. Keine Anwendung finden deshalb beispielsweise Art. 70, 71 72 oder 79 MWSTG, obwohl sie unter dem Titel "Verfahrensrecht für die Inland- und die Bezugsteuer" stehen (vgl. auch Urteil des Bundesverwaltungsgerichts A-1379/2007 vom 18. März 2010 E. 1.2.2).</w:t>
      </w:r>
    </w:p>
    <w:p>
      <w:r>
        <w:rPr>
          <w:b/>
        </w:rPr>
        <w:t>E. 1.3</w:t>
      </w:r>
    </w:p>
    <w:p>
      <w:r>
        <w:t>Das Bundesverwaltungsgericht kann den angefochtenen Einspracheentscheid grundsätzlich im vollen Umfang überprüfen. Die Beschwerdeführerin kann neben der Verletzung von Bundesrecht und der unrichtigen oder unvollständigen Feststellung des rechtserheblichen Sachverhalts auch die Rüge der Unangemessenheit erheben (Art. 49 VwVG). Das Bundesverwaltungsgericht auferlegt sich allerdings bei der Überprüfung von zulässigerweise erfolgten Ermessensveranlagungen eine gewisse Zurückhaltung und führt so die höchstrichterlich bestätigte Rechtsprechung der Steuerrekurskommission (SRK) weiter (vgl. Urteil des Bundesgerichts 2C_426/2007 vom 22. November 2007 E. 4.3). Ob indessen die Voraussetzungen für die Vornahme einer Ermessensveranlagung gegeben sind, überprüft das Bundesverwaltungsgericht uneingeschränkt (statt vieler zum Ganzen: Urteile des Bundesverwaltungsgerichts A-4360/2007 vom 3. Juli 2009 E. 5.1 und A-1532/2006 vom 10. Januar 2008 E. 2.1 mit Hinweisen).</w:t>
      </w:r>
    </w:p>
    <w:p>
      <w:r>
        <w:rPr>
          <w:b/>
        </w:rPr>
        <w:t>E. 2.1</w:t>
      </w:r>
    </w:p>
    <w:p>
      <w:r>
        <w:t>Die Veranlagung und Entrichtung der Mehrwertsteuer erfolgt nach dem Selbstveranlagungsprinzip (Art. 46 aMWSTG;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(Alois Camenzind/Niklaus Honauer/Klaus A. Vallender, Handbuch zum Mehrwertsteuergesetz, 2. Aufl., Bern 2003, Rz. 1680). Der Steuerpflichtige hat seine Mehrwertsteuerforderung selbst festzustellen; er ist allein für die vollständige und richtige Versteuerung seiner steuerbaren Umsätze und für die korrekte Ermittlung der Vorsteuer verantwortlich (anstelle vieler: Urteil des Bundesverwaltungsgerichts A-140/2008 vom 30. Oktober 2009 E. 2.1). Ein Verstoss des Steuerpflichtigen gegen diesen Grundsatz ist als schwerwiegend anzusehen, da der Steuerpflichtige durch das Missachten dieser Vorschrift die ordnungsgemässe Erhebung der ihn betreffenden Mehrwertsteuer gefährdet (Urteile des Bundesverwaltungsgerichts A-4360/2007 vom 3. Juli 2009 E. 2.1, A-1634/2006 vom 31. März 2009 E. 3.4, A-1527/2006 vom 6. März 2008 E. 2.1).</w:t>
      </w:r>
    </w:p>
    <w:p>
      <w:r>
        <w:rPr>
          <w:b/>
        </w:rPr>
        <w:t>E. 2.2</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2001 zur Mehrwertsteuer" vom Sommer 2000 (Wegleitung 2001), gültig ab 1. Januar 2001, Gebrauch gemacht. Darin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und 2A.569/2006 vom 28. Februar 2007 E. 3.1). Die "Wegleitung 2008 zur Mehrwertsteuer", gültig ab 1. Januar 2008, bestätigt diese Grundsätze und empfiehlt Barumsätze täglich zu verbuchen und mit dem effektiven Bargeldbestand abzustimmen (Rz. 884a). Nach neuer Regelung (Art. 70 Abs. 1 MWSTG) hat der Steuerpflichtige seine Geschäftsbücher gar nach handelsrechtlichen Grundsätzen zu führen.</w:t>
      </w:r>
    </w:p>
    <w:p>
      <w:r>
        <w:rPr>
          <w:b/>
        </w:rPr>
        <w:t>E. 2.3</w:t>
      </w:r>
    </w:p>
    <w:p>
      <w:r>
        <w:t>Die detaillierte und chronologische Führung eines Kassabuchs muss besonders hohen Anforderungen genügen (vgl. dazu bereits Martin Zweifel, Die Sachverhaltsermittlung im Steuerveranlagungsverfahren, Zürich 1989, S. 36). Soll also ein Kassabuch für die Richtigkeit des erfassten Bargeldverkehrs Beweis erbringen, ist zu verlangen, dass in diesem die Bareinnahmen und -ausgaben fortlaufend, lückenlos und zeitnah aufgezeichnet und durch Kassenstürze regelmässig - in bargeldintensiven Betrieben täglich - kontrolliert werden. Nur auf diese Weise ist gewährleistet, dass die erfassten Bareinnahmen vollständig sind, das heisst den effektiven Bareinnahmen entsprechen (statt vieler: Urteil des Bundesgerichts 2C_302/2009 vom 15. Oktober 2009 E. 4.2; Urteil des Bundesverwaltungsgerichts A-1379/2007 vom 18. März 2010 E. 2.2, mit weiteren Hinweisen). Wiederholte Minussaldi im Kassenkonto deuten darauf hin, dass nicht sämtliche Entgelte verbucht wurden, was einen gravierenden Verstoss gegen die Buchhaltungsvorschriften darstellt (vgl. etwa schon den Entscheid der SRK vom 11. April 2005, veröffentlicht in Steuerrevue 2005 S. 892). Auch im Hinblick auf andere Steuern (vgl. z.B. Art. 18 Abs. 2 des Bundesgesetzes vom 14. Dezember 1990 über die direkte Bundessteuer [DBG, SR 642.11]) ist zu betonen, dass die Unterscheidung von Privat- und Geschäftsvermögen von grosser Bedeutung ist, weshalb einer Vermischung entgegenzuwirken ist.</w:t>
      </w:r>
    </w:p>
    <w:p>
      <w:r>
        <w:rPr>
          <w:b/>
        </w:rPr>
        <w:t>E. 2.4</w:t>
      </w:r>
    </w:p>
    <w:p>
      <w:r>
        <w:t>Liegen keine oder nur unvollständige Aufzeichnungen vor oder stimmen die ausgewiesenen Ergebnisse mit dem wirklichen Sachverhalt offensichtlich nicht überein, so nimmt die ESTV nach Art. 60 aMWSTG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Eine Schätzung muss insbesondere einerseits dann erfolgen, wenn die Verstösse gegen die formellen Buchhaltungsregeln derart gravierend sind, dass sie die materielle Richtigkeit der Buchhaltungsergebnisse in Frage stellen (Urteile des Bundesgerichts 2C_429/2009 vom 9. November 2009 E. 3 und 2A.437/2005 vom 3. Mai 2006 E. 3.1; BVGE A-5754/2008 vom 5. November 2009 E. 2.6). Anderseits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Urteil des Bundesverwaltungsgerichts A-1379/2007 vom 18. März 2010 E. 3.2; A-1634/2006 vom 31. März 2009 E. 3.6 mit Hinweisen).</w:t>
      </w:r>
    </w:p>
    <w:p>
      <w:r>
        <w:rPr>
          <w:b/>
        </w:rPr>
        <w:t>E. 2.5</w:t>
      </w:r>
    </w:p>
    <w:p>
      <w:r>
        <w:t>Für das Vorliegen der Voraussetzungen zur Vornahme einer Ermessenseinschätzung ist nach den allgemeinen Regeln die ESTV beweisbelastet (statt vieler: Urteil des Bundesverwaltungsgerichts A-4360/2007 vom 3. Juli 2009 E. 3.1; Blumenstein/Locher, a.a.O., S. 454). 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(Urteil des Bundesgerichts 2A.552/2006 vom 1. Februar 2007 E. 3.2; Urteil des Bundesverwaltungsgerichts A-1636/2006 vom 2. Juli 2008 E. 2.3.2; vgl. auch bereits Kommentar des Eidgenössischen Finanzdepartements zur Mehrwertsteuerverordnung vom 22. Juni 1994 zu Art. 48 MWSTV).</w:t>
      </w:r>
    </w:p>
    <w:p>
      <w:r>
        <w:rPr>
          <w:b/>
        </w:rPr>
        <w:t>E. 2.6.1</w:t>
      </w:r>
    </w:p>
    <w:p>
      <w:r>
        <w:t>Sind die Voraussetzungen für die Vornahme einer Ermessenseinschätzung gegeben, so hat die Verwaltung diejenige Schätzungsmethode zu wählen, die den individuellen Verhältnissen im Betrieb des Steuerpflichtigen soweit als möglich Rechnung trägt, auf plausiblen Angaben beruht und deren Ergebnis der wirklichen Situation möglichst nahe kommt (Urteil des Bundesgerichts 2C_426/2007 vom 22. November 2007 E. 3.2; BVGE A-5754/2008 vom 5. November 2009 E. 2.7.2). Die Ermessensveranlagung hat somit zum Ziel, den tatsächlichen Gegebenheiten möglichst gerecht zu werden. Es haftet ihr dabei eine gewisse Unsicherheit an, die der Steuerpflichtige aufgrund seiner Pflichtverletzung selber zu vertreten hat (statt vieler: Urteil des Bundesgerichts 2A.437/2005 vom 3. Mai 2006 E. 3.2; vgl. ferner Pascal Mollard, TVA et taxation par estimation, veröffentlicht in Archiv für Schweizerisches Abgaberecht [ASA] 69 S. 520).</w:t>
      </w:r>
    </w:p>
    <w:p>
      <w:r>
        <w:rPr>
          <w:b/>
        </w:rPr>
        <w:t>E. 2.6.2</w:t>
      </w:r>
    </w:p>
    <w:p>
      <w:r>
        <w:t>In Betracht fallen einerseits Schätzungsmethoden, die auf eine Ergänzung oder Rekonstruktion der ungenügenden Buchhaltung hinauslaufen, andererseits Umsatzschätzungen aufgrund unbestrittener Teil-Rechnungsergebnisse in Verbindung mit Erfahrungssätzen ([anstelle vieler] Urteile des Bundesverwaltungsgerichts A-1379/2007 vom 18. März 2010 E. 4.2; A-1549/2006 vom 16. Mai 2008 E. 4.2; A-1454/2006 vom 26. September 2007 E. 2.6.1). Die brauchbaren Teile der Buchhaltung und allenfalls vorhandene Belege sind soweit als möglich bei der Schätzung mitzuberücksichtigen. Sie können durchaus als Basiswerte der Ermessenstaxation fungieren (Urteile des Bundesverwaltungsgerichts A-1634/2006 vom 31. März 2009 E. 3.7 und A-1527/2006 vom 6. März 2008 E. 2.3; Mollard, a.a.O., S. 550 ff.).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2C_309/2009 vom 1. Februar 2010 E. 2.2 und 2A.437/2005 vom 3. Mai 2006 E. 4.3.2; [anstelle vieler] Urteile des Bundesverwaltungsgerichts A-4146/2009 vom 9. März 2010 E. 3.4 und A-746/2007 vom 6. November 2009 E. 4.3; sog. Umlageverfahren). Da die Schätzung möglichst der Realität nahe kommen sollte, hat sie auch die den Steuerpflichtigen begünstigenden Momente zu enthalten. Insbesondere sind belegte Vorsteuerabzüge einzubeziehen (Urteil des Bundesverwaltungsgerichts A-1636/2006 vom 2. Juli 2008 E. 2.4.2).</w:t>
      </w:r>
    </w:p>
    <w:p>
      <w:r>
        <w:rPr>
          <w:b/>
        </w:rPr>
        <w:t>E. 2.7</w:t>
      </w:r>
    </w:p>
    <w:p>
      <w:r>
        <w:t>Sind die Voraussetzungen einer Ermessenstaxation erfüllt und ist die ESTV damit zu Recht zu einer Ermessensveranlagung geschritten, obliegt es dem Steuerpflichtigen, den Beweis für die Unrichtigkeit der Schätzung im Detail nachzuweisen und zu belegen (Urteile des Bundesgerichts 2C_582/2007 vom 1. September 2008 E. 3, 2C_171/2008 vom 30. Juli 2008 E. 4.3 und 2A.437/2005 vom 3. Mai 2006 E. 3.3). Aufgrund der Zurückhaltung bei der Überprüfung der zulässigerweise erfolgten Ermessensveranlagung nimmt das Bundesverwaltungsgericht erst dann eine Korrektur der erstinstanzlichen Schätzung vor, wenn der Mehrwertsteuerpflichtige den Nachweis dafür erbringt, dass der Vorinstanz bei der Schätzung erhebliche und offensichtliche Ermessensfehler unterlaufen sind (statt vieler Urteile des Bundesverwaltungsgerichts A-1379/2007 vom 18. März 2010 E. 5; A-140/2008 vom 30. Oktober 2009 E. 4.3 und A-1425/2006 vom 6. November 2008 E. 2). Der Steuerpflichtige hat klar nachzuweisen, dass die Schätzung offensichtlich nicht der Wirklichkeit entspricht (Ueli Manser, mwst.com, Kommentar zum Bundesgesetz über die Mehrwertsteuer, Basel 2000, Rz. 5 zu Art. 60).</w:t>
      </w:r>
    </w:p>
    <w:p>
      <w:r>
        <w:rPr>
          <w:b/>
        </w:rPr>
        <w:t>E. 3</w:t>
      </w:r>
    </w:p>
    <w:p>
      <w:r>
        <w:t>In diesem Zusammenhang stellt sich die Frage, wie Beweisanträge im Beschwerdeverfahren zu behandeln sind. Entgegen dem alten Recht sind gemäss Art. 81 Abs. 1 MWSTG, der Art. 2 Abs. 1 VwVG ausschliesst, die Vorschriften (Art. 12-19 und 30-33 VwVG) betreffend die Anhörung von Parteien, Zeugen oder Drittpersonen sowie die Durchführung eines Augenscheins für das Mehrwertsteuerrecht anwendbar. Insofern hat die Behörde nunmehr nicht nur aufgrund der Vorgaben von Art. 29 Abs. 2 der Bundesverfassung der Schweizerischen Eidgenossenschaft vom 18. April 1999 (BV, SR 101), sondern in Nachachtung von Art. 33 VwVG die ihr angebotenen Beweise abzunehmen, wenn diese zur Abklärung des Sachverhalts tauglich erscheinen. Abgesehen davon, dass die Tragweite der Regelungen von Art. 81 MWSTG bei bereits hängigen Fällen ohnehin von beschränkter Tragweite ist (Urteil des Bundesverwaltungsgerichts A-1379/2007 vom 18. März 2010 E. 1.2.3), rechtfertigt sich eine solche Beweismassnahme also nach wie vor nur, wenn sie als geeignet erscheint, Tatsachen, die sich aus den vorgelegten Unterlagen ergeben, zu bestätigen, zu präzisieren oder zu ergänzen (Urteil des Bundesverwaltungsgerichts A-1392/2006 vom 29. Oktober 2007 E. 2 mit Hinweisen). Von vornherein keine Verletzung des rechtlichen Gehörs und des Grundsatzes der freien Beweiswürdigung (Art. 81 Abs. 3 MWSTG) liegt vor, wenn die Behörde auf die Abnahme beantragter Beweismittel verzichtet, weil diese eine nicht erhebliche Tatsache betreffen oder offensichtlich untauglich sind oder wenn sie auf Grund der bereits abgenommenen Beweise ihre Überzeugung gebildet hat, wenn die Tatsachen bereits aus den Akten genügend ersichtlich sind und die Behörde in vorweggenommener, antizipierter Beweiswürdigung annehmen kann, dass ihre Überzeugung durch weitere Beweiserhebungen nicht geändert würde (BGE 131 I 153 E. 3, BGE 124 I 208 E. 4a, je mit Hinweisen; statt vieler: Urteile des Bundesverwaltungsgerichts A-1379/2007 vom 18. März 2010 E. 1.2.3 und A-2206/2007 vom 24. November 2008 E. 4.1.2.2; André Moser/Michael Beusch/Lorenz Kneubühler, Prozessieren vor dem Bundesverwaltungsgericht, Basel 2008, Rz. 3.144 ff.).</w:t>
      </w:r>
    </w:p>
    <w:p>
      <w:r>
        <w:rPr>
          <w:b/>
        </w:rPr>
        <w:t>E. 4</w:t>
      </w:r>
    </w:p>
    <w:p>
      <w:r>
        <w:t>Die Beschwerdeführerin macht eine unrichtige Sachverhaltsfeststellung geltend.</w:t>
      </w:r>
    </w:p>
    <w:p>
      <w:r>
        <w:rPr>
          <w:b/>
        </w:rPr>
        <w:t>E. 4.1</w:t>
      </w:r>
    </w:p>
    <w:p>
      <w:r>
        <w:t>Im vorliegenden Fall wurden im Kassakonto über Jahre hinweg am Monatsende negative Saldi ausgewiesen; nur am Jahresende wurde jeweils ein positiver Saldo dokumentiert. Unstrittig ist dies der einzige von der ESTV explizit beanstande Mangel an der Buchführung, der zur nunmehr beanstandeten Verfügung führte. Logisch sind Minussaldi in der Kasse freilich schlechterdings nicht möglich, da es nicht sein kann, dass aus einer leeren Bargeldkasse weitere Zahlungen in bar getätigt werden. Somit besteht ein grober Mangel in der Buchführung, der lediglich mit einer sofortigen, besonders plausiblen und gut belegten Erklärung bereinigt werden könnte. Ansonsten muss der ESTV zugestimmt und der Buchhaltung die Beweiskraft abgesprochen werden.</w:t>
      </w:r>
    </w:p>
    <w:p>
      <w:r>
        <w:rPr>
          <w:b/>
        </w:rPr>
        <w:t>E. 4.2</w:t>
      </w:r>
    </w:p>
    <w:p>
      <w:r>
        <w:t>Die Beschwerdeführerin verweist bei ihrer Rüge erstmals vor dem Bundesverwaltungsgericht auf eine Bestätigung der scheinbaren Darlehensgeber an die Steuerbehörden, wonach sie diese Darlehen nicht versteuert hätten (vgl. oben E). Für die behaupteten familieninternen Darlehen bestehen jedoch keine weiteren Belege, obgleich ansonsten dem ehemaligen Betriebsinhaber (und Vater) jeweils gegen Quittung Amortisation geleistet worden sei. Dazu kommt, dass auf erstes Nachfragen der ESTV hin zumindest missverständlich Auskunft gegeben wurde (es handle sich um eigenes Geld aus einem Banksafe). Die behaupteten Darlehen wurden weder in der Buchhaltung der Beschwerdeführerin noch in der Steuererklärung der scheinbaren Darlehensgeber dokumentiert.</w:t>
      </w:r>
    </w:p>
    <w:p>
      <w:r>
        <w:rPr>
          <w:b/>
        </w:rPr>
        <w:t>E. 4.3</w:t>
      </w:r>
    </w:p>
    <w:p>
      <w:r>
        <w:t>Obgleich das nachgereichte Schreiben des ehemaligen Betriebsinhabers an die kantonalen Steuerbehörden für diesen steuerrechtliche Folgen haben dürfte, vermag es eine chronologische, zeitnahe und periodisch saldierte Kassabuchführung nicht im Ansatz zu ersetzen. Dazu kommt, dass die nachgereichte Bestätigung lediglich Schätzungen der angeblichen Darlehenssummen beinhaltet, wobei diesbezügliche (im gesamtfamiliären Kontext wahrscheinliche) Darlehenszinszahlungen nicht erwähnt werden. Auch dass sich die scheinbaren Darlehensgeber, die in verschiedenen Steuererklärungen einen auf den Franken genauen ungeraden Barbetrag deklarierten, bloss mit Schätzungen begnügen, mindert den Beweiswert dieses Schreibens. Insofern ist der Hinweis, dass in der Steuererklärung 2001 der scheinbaren Darlehensgeber ein geleisteter Amortisationszins der Beschwerdeführerin gleichzeitig als Guthaben angeben wurde, was auf ein "Stehenlassen" (also ein Darlehen) schliessen lässt, unbehelflich. Denn abgesehen davon, ist es sogar in Bezug auf die Fahrzeughandelsbranche und bei sehr guten finanziellen Verhältnissen unglaubhaft, dass öfters Barbeträge von rund einer halben Million Schweizer Franken in einem (fremden) Autohandelssafe aufbewahrt werden. Zusammenfassend mag es sehr wohl sein, dass "lediglich" ein buchhalterischer Mangel festgestellt wurde. Da dieser jedoch gravierend ist und aufzeigt, dass eine sehr grosse Anzahl Buchungen unbelegt geblieben sind, war die ESTV verpflichtet zu einer Ermessenstaxation zu schreiten (vgl. oben E. 2.4). Aufgrund fehlenden Nachweises einer anderen Quelle ist zudem davon auszugehen, dass diese Minussaldi mit unversteuerten Umsätzen ausgeglichen wurden.</w:t>
      </w:r>
    </w:p>
    <w:p>
      <w:r>
        <w:rPr>
          <w:b/>
        </w:rPr>
        <w:t>E. 5</w:t>
      </w:r>
    </w:p>
    <w:p>
      <w:r>
        <w:t>Methodisch ist die ESTV davon ausgegangen, dass der (einmalig) höchste Minussaldo den unversteuerten Gesamteinahmen über die ganze Kontrolldauer entspreche. Da diese Gewinne aus Vermittlungsprovision bzw. margenbesteuerten Occasionswagenverkäufen stammen würden, sei dieser Betrag mit dem "Umsatz brutto" gleichzusetzen und darauf der enthaltene Steuerbetrag zu berechnen.</w:t>
      </w:r>
    </w:p>
    <w:p>
      <w:r>
        <w:rPr>
          <w:b/>
        </w:rPr>
        <w:t>E. 5.1</w:t>
      </w:r>
    </w:p>
    <w:p>
      <w:r>
        <w:t>Die Beschwerdeführerin rügt die Methode der Ermessenseinschätzung, insbesondere, dass nicht von Erfahrungszahlen anderer Betriebe ausgegangen worden sei. Des Weiteren erläutert sie, wieso nicht über Kommissionsgeschäfte Mehreinnahmen erzielt worden seien und behauptet, dass die von Mehrwertsteuerpflichtigen gekauften Occasionswagen (und die entsprechenden Bruttogewinnquoten) zu ihren Ungunsten unberücksichtigt geblieben seien. Es sei zynisch, im Nachhinein Nachweise zu fordern, die nicht erbringbar seien. Mit Beschwerdeergänzung vom 19. März 2008 ersuchte die Beschwerdeführerin um Korrektur des maximalen Minussaldos aufgrund diverser missverstandener Buchungen in der Gesamthöhe von Fr. 140'694.20.</w:t>
      </w:r>
    </w:p>
    <w:p>
      <w:r>
        <w:rPr>
          <w:b/>
        </w:rPr>
        <w:t>E. 5.2</w:t>
      </w:r>
    </w:p>
    <w:p>
      <w:r>
        <w:t>Die Beanstandungen der Beschwerdeführerin gehen fehl. In erster Linie ist darauf hinzuweisen, dass die Steuerpflichtige den Beweis für die Unrichtigkeit der Schätzung im Detail nachzuweisen und zu belegen hat (vgl. oben E. 2.7). Vorliegend führt die Beschwerdeführerin lediglich für etwas mehr als einen Viertel des Minussaldos zum Zeitpunkt der maximalen Höhe aus, inwiefern unkorrekte Buchungen vorliegen würden. Wenn schon müssten für sämtliche Buchungsvorgänge, die zu diesem (besser: allen) Minussaldi geführt haben, im Minimum plausible Belege vorgelegt werden können, die ein Missverständnis (und jede Zahlung) im Detail erkennen lassen und damit letztlich einen positiven Saldo dokumentieren. Insofern ist auf die einzelnen Fehlbuchungen nicht weiter einzugehen, denn es handelt sich - wie die ESTV richtig ausführt - lediglich um eine pflichtgemässe Schätzung, wobei gewisse Ungenauigkeiten in der Natur der Sache liegen. Es ist zu betonen, dass die Beschwerdeführerin der Aufbewahrungspflicht hinsichtlich ihrer Bücher unterliegt und (auch) diesbezügliche Pflichtverletzungen selber zu vertreten hat (vgl. oben E. 2.6.1).</w:t>
      </w:r>
    </w:p>
    <w:p>
      <w:r>
        <w:rPr>
          <w:b/>
        </w:rPr>
        <w:t>E. 5.3</w:t>
      </w:r>
    </w:p>
    <w:p>
      <w:r>
        <w:t>Eine Schätzungsmethode, die eine Ergänzung oder Rekonstruktion der ungenügenden Buchhaltung beinhaltet, ohne dass auf Erfahrungszahlen abgestützt wird, ist zulässig (vgl. oben E. 2.6.2) und vorliegend sachgerecht. Es wurde bloss eine Ergänzung des Umsatzes vorgenommen, indem der maximale Fehlbetrag in der Kasse als (über die gesamte Kontrollperiode) einmaliger Gewinn betrachtet wurde. Ob dieser aus Kommissionsgeschäften stammte, ist unbedeutend, da diese gleich wie die margenbesteuerten Tätigkeiten der Beschwerdeführerin zu besteuern sind.</w:t>
      </w:r>
    </w:p>
    <w:p>
      <w:r>
        <w:rPr>
          <w:b/>
        </w:rPr>
        <w:t>E. 5.4</w:t>
      </w:r>
    </w:p>
    <w:p>
      <w:r>
        <w:t>Auch die Ausführungen hinsichtlich der angeblich von Mehrwertsteuerpflichtigen gekauften Occasionswagen sind unbeachtlich. Denn aufgrund fehlender ausgewiesener Vorsteuerabzugsmöglichkeit müsste gar eine höhere Steuer angenommen werden, wenn die Beschwerdeführerin in Bezug auf die Autoverkäufe nicht margenbesteuert würde. In Anbetracht der Umstände hat die ESTV jedoch zu Recht keinen strengen Formalismus angewandt und im Sinne einer Ausnahme die Annahme getroffen, es seien mehrheitlich Occasionsautos von nicht mehrwertsteuerpflichtigen Verkäufern gekauft worden.</w:t>
      </w:r>
    </w:p>
    <w:p>
      <w:r>
        <w:rPr>
          <w:b/>
        </w:rPr>
        <w:t>E. 5.5</w:t>
      </w:r>
    </w:p>
    <w:p>
      <w:r>
        <w:t>Dass durch diese Berechnung der Steuerpflichtigen insgesamt eine höhere Wertschöpfung unterstellt wird, ist korrekt, jedoch über den gesamten Untersuchungszeitraum besehen nicht erheblich oder gar ermessenswidrig. Denn aus den Akten ergibt sich, dass über die fragliche Steuerperiode jährlich zehnmal grössere Umsätze erzielt wurden. Im Hinblick auf die Dauerhaftigkeit der Minussaldi wäre es im Übrigen nicht abwegig, davon auszugehen, dass gewisse Zahlungen nicht aus demselben unversteuerten "Grundstock" getätigt wurden, d.h. durchaus von einem grösseren Umsatz ausgegangen werden könnte. Im Hinblick auf die unklaren Verhältnisse ist von einem derartigen "Umlegen" von einem auf verschiedene Steuerjahre jedoch abzusehen und die Bemessung der ESTV als sachgerecht einzustufen.</w:t>
      </w:r>
    </w:p>
    <w:p>
      <w:r>
        <w:rPr>
          <w:b/>
        </w:rPr>
        <w:t>E. 5.6</w:t>
      </w:r>
    </w:p>
    <w:p>
      <w:r>
        <w:t>Zusammenfassend hat die ESTV den brauchbaren Teil der Buchhaltung soweit als möglich genutzt, indem sie den höchsten Minussaldo als unversteuerten Umsatzteil erkannte und damit den fehlenden Teil der Buchhaltung in Anwendung pflichtgemässen Ermessens schätzte. Die Beschwerdeführerin vermag nicht aufzuzeigen, inwiefern die Schätzungsmethode bzw. die Schätzung erheblich unrichtig und der Vorinstanz ein offensichtlicher Ermessensfehler unterlaufen sein soll.</w:t>
      </w:r>
    </w:p>
    <w:p>
      <w:r>
        <w:rPr>
          <w:b/>
        </w:rPr>
        <w:t>E. 5.7</w:t>
      </w:r>
    </w:p>
    <w:p>
      <w:r>
        <w:t>Aufgrund des Ausgeführten kann in antizipierter Beweiswürdigung von vornherein auf die beantragten Zeugeneinvernahmen verzichtet werden. Der ESTV-Revisor kann keine präzisierenden Ergänzungen zu (diesbezüglich unstrittigen) Sachverhaltselementen beitragen. Aus den Akten, insbesondere aufgrund des Schreibens an die kantonalen Steuerbehörden, sind die Vorbringen der scheinbaren Darlehensgeber genügend ersichtlich, weshalb auch von einer Einvernahme abgesehen werden kann. Hinsichtlich der zum Zeugnis beantragten Finanzexperten, welche aussagen könnten, dass die Beschwerdeführerin bereits gemäss behaupteten Zahlen ausserordentliche Umsätze erzielen würde, ist festzuhalten, dass auch diese Beweiserhebungen kaum zur Präzisierung beitragen könnten, denn die vorliegende Schätzung basiert nicht auf einer vergleichenden Methode, sondern trägt den individuellen Verhältnissen im Betrieb der Steuerpflichtigen soweit als möglich Rechnung ohne auf externe Zahlen zuzugreifen. Im Übrigen lässt der geschätzte, über die gesamte Kontrolldauer besehen wenig erhebliche Mehrumsatz, kaum Raum für taugliche Auskünfte. Die beantragten Einvernahmen sind damit allesamt untaugliche Beweisanerbieten.</w:t>
      </w:r>
    </w:p>
    <w:p>
      <w:r>
        <w:rPr>
          <w:b/>
        </w:rPr>
        <w:t>E. 5.8</w:t>
      </w:r>
    </w:p>
    <w:p>
      <w:r>
        <w:t>In diesem Zusammenhang ist schliesslich auch die behauptete Verletzung des rechtlichen Gehörs durch die "krass falsche und irreführende Information" der ESTV und ihr "eigenartiges Vorgehen" während und nach der Kontrolle aufzunehmen. Offenbar wurden seitens der Steuerverwaltung mehrfach neue Belege gefordert, wobei auf Rückfragen nach dem Zweck angeblich nicht geantwortet worden sei. Dies wäre bei Zutreffen zwar als unfreundlich zu werten, stellt jedoch keine Verletzung des rechtlichen Gehörs dar. Ähnliches gilt für das standardmässige Schreiben der ESTV vom 20. Juni 2006, womit die Steuerpflichtige auf die Möglichkeit der vorsorglichen Bezahlung (zur Minderung des Zinsrisikos) aufmerksam gemacht wurde. Dass ein durch Einsprache (statt Beschwerde) anfechtbarer Entscheid in Aussicht gestellt wurde, kann kein Grund sein, zur "Herstellung eines fairen Verfahrens" die Sache an die Vorinstanz zurückzuweisen. Mithin ist die Beschwerde auch diesbezüglich abzuweisen.</w:t>
      </w:r>
    </w:p>
    <w:p>
      <w:r>
        <w:rPr>
          <w:b/>
        </w:rPr>
        <w:t>E. 6</w:t>
      </w:r>
    </w:p>
    <w:p>
      <w:r>
        <w:t>Nach dem Gesagten ist die Beschwerde vollumfänglich abzuweisen. Die Verfahrenskosten in der Höhe von Fr. 3'000.- sind der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