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A-7027/2010 vom 28. April 2011</w:t>
      </w:r>
    </w:p>
    <w:p>
      <w:r>
        <w:t>Bundesverwaltungsgericht, 2011-04-28, FR</w:t>
      </w:r>
    </w:p>
    <w:p>
      <w:r>
        <w:rPr>
          <w:b/>
        </w:rPr>
        <w:t xml:space="preserve">Quelle: </w:t>
      </w:r>
      <w:r>
        <w:t>https://mcp.opencaselaw.ch/entscheid/bvger_A-7027_2010</w:t>
      </w:r>
    </w:p>
    <w:p>
      <w:r>
        <w:t>FR: TAF A-7027/2010 du 28 avril 2011</w:t>
      </w:r>
    </w:p>
    <w:p>
      <w:r>
        <w:t>IT: TAF A-7027/2010 del 28 aprile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A-6302/2010 du 28 mars 2011 consid. 1.3.1 et les références citées, A-6903/2010 du 23 mars 2011 consid. 1.2.1, A-6258/2010 du 14 février 2011 consid. 1.2.1 et les références citées).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A-6302/2010 du 28 mars 2011 consid. 1.3.1 et les références citées, A-6903/2010 du 23 mars 2011 consid. 1.2.1, A-6258/2010 du 14 février 2011 consid. 1.2.1 et les références citées).</w:t>
      </w:r>
    </w:p>
    <w:p>
      <w:r>
        <w:rPr>
          <w:b/>
        </w:rPr>
        <w:t>E. 1.2.2</w:t>
      </w:r>
    </w:p>
    <w:p>
      <w:r>
        <w:t>En l'occurrence, la recourante 1 et le recourant 2 sont visés dans l'intitulé de la décision entreprise. Ils sont spécialement atteints par cette dernière, la première en tant que détentrice du compte *** ainsi que cocontractante d'UBS SA pour celui-ci et le second en tant que bénéficiaire économique présumé de la relation bancaire ***. Les recourants se trouvent ainsi dans un rapport particulier avec la contestation. Ils ont au demeurant un intérêt à l'annulation ou la modification de la décision attaquée et ont participé à la procédure devant l'autorité inférieure. Ils disposent par conséquent de la qualité pour recourir (cf. art. 48 al. 1 PA).</w:t>
      </w:r>
    </w:p>
    <w:p>
      <w:r>
        <w:rPr>
          <w:b/>
        </w:rPr>
        <w:t>E. 1.3</w:t>
      </w:r>
    </w:p>
    <w:p>
      <w:r>
        <w:t>Interjeté dans la forme (cf. art. 52 PA) et le délai (cf. art. 50 al. 2 PA) prescrits par la loi, le recours est recevable.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A-8330/2010 du 8 avril 2011 consid. 2.1 et les références citées, A-7025/2010 du 4 avril 2011 consid. 2.1, A-8462/2010 du 2 mars 2011 consid. 2.1 et les références citées,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[ci-après : vol. 1],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A-8330/2010 du 8 avril 2011 consid. 2.1 et les références citées, A-7025/2010 du 4 avril 2011 consid. 2.1, A-8462/2010 du 2 mars 2011 consid. 2.1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A-8330/2010 du 8 avril 2011 consid. 2.3 et les références citées, A-7025/2010 du 4 avril 2011 consid. 2.3, A-8462/2010 du 2 mars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A-8330/2010 du 8 avril 2011 consid. 2.3 et les références citées, A-7025/2010 du 4 avril 2011 consid. 2.3, A-8462/2010 du 2 mars 2011 consid. 2.3 et les références citées,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A-8330/2010 du 8 avril 2011 consid. 2.4 et les références citées, A-7025/2010 du 4 avril 2011 consid. 2.4, A-6053/2010 du 10 janvier 2011 consid. 1.5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A-8330/2010 du 8 avril 2011 consid. 2.4 et les références citées, A-7025/2010 du 4 avril 2011 consid. 2.4, A- 6053/2010 du 10 janvier 2011 consid. 1.5 et les références citées, A-4013/2010 du 15 juillet 2010 consid. 2.2 et les références citées). A cette fin, la personne concernée par l'entraide administrative doit, immédiatement et sans réserve, apporter la preuve par titre que c'est à tort qu'elle a été incluse dans la procédure. Le Tribunal administratif fédéral n'ordonne aucune mesure d'instruction à cet égard (cf. arrêts du Tribunal administratif fédéral A-6676/2010 du 8 avril 2011 consid. 3.2, A-6053/2010 du 10 janvier 2011 consid. 1.5 et A-4911/2010 du 30 novembre 2010 consid. 1.4.2).</w:t>
      </w:r>
    </w:p>
    <w:p>
      <w:r>
        <w:rPr>
          <w:b/>
        </w:rPr>
        <w:t>E. 3.1</w:t>
      </w:r>
    </w:p>
    <w:p>
      <w:r>
        <w:t>Les recourants requièrent, à titre de mesures d'instruction, l'audition de quatre personnes, soit de B._______, C._______, D._______ et E._______. La première personne devrait fournir des explications utiles sur le fonctionnement du compte ***, le détail des transactions répertoriées durant la période concernée et attester du montant total des avoirs confiés à UBS SA appartenant au recourant 2. Autrement dit, elle devrait démontrer que le recourant 2 ne serait pas le bénéficiaire économique de la relation bancaire litigieuse et que le seuil de la moyenne annuelle de CHF 100'000.-- sur trois ans ne serait pas atteint. Les recourants n'ont pas précisé pourquoi ils demandent l'audition de C._______, D._______ et E._______, dont ils ont simplement indiqué qu'ils auraient été en charge du suivi du compte de la recourante 1, respectivement auteur des rapports de révision LBA.</w:t>
      </w:r>
    </w:p>
    <w:p>
      <w:r>
        <w:rPr>
          <w:b/>
        </w:rPr>
        <w:t>E. 3.2</w:t>
      </w:r>
    </w:p>
    <w:p>
      <w:r>
        <w:t>Le droit d'administrer des preuves suppose que le fait à prouver soit pertinent et que le moyen de preuve proposé soit nécessaire pour constater ce fait (cf. arrêt du Tribunal administratif fédéral A-7156/2010 du 17 janvier 2011 consid. 3.2). Or, le nombre de personnes ayant été bénéficiaires économiques d'un compte n'est pas déterminant, si bien que l'audition d'un témoin - visant à démontrer que les avoirs figurant sur la relation bancaire litigieuse bénéficieraient également et essentiellement à d'autre personnes qu'au recourant 2 - s'avère inutile. Le Tribunal de céans s'est déjà prononcé sur la problématique de la personne concernée par la demande de renseignements de l'IRS lorsque plusieurs personnes sont les bénéficiaires économiques du compte en question (cf. consid. 5.4.2.2 ci-après). Par ailleurs, comme indiqué ci-avant (cf. consid. 2.4), lorsque le soupçon initial paraît fondé, il appartient à la personne concernée par l'entraide administrative de le réfuter de manière claire et décisive, en apportant la preuve par titre que c'est à tort qu'elle a été incluse dans la procédure; le Tribunal de céans n'ordonne aucune mesure d'instruction à cet égard. L'audition de différents témoins est ainsi une mesure d'instruction inapte à prouver les faits allégués et il n'appartient de toute manière pas au Tribunal administratif fédéral d'ordonner une quelconque mesure d'instruction libératoire. En outre, les chiffres figurant dans la décision entreprise ne sont en soi pas contestés par les recourants, ceux-ci alléguant simplement que seuls CHF 51'500.-- du montant total des avoirs confiés à UBS SA appartiendraient au recourant 2. Or, le Tribunal administratif fédéral s'est déjà déterminé sur la question de savoir si le seuil de la moyenne annuelle de CHF 100'000.-- sur trois ans était lié ou non à la personne du bénéficiaire économique du compte concerné (cf. consid. 5.4.2.2 ci-après), de sorte que l'audition d'un témoin serait de toute manière inutile. La demande des recourants, tendant à l'audition de B._______, est dès lors rejetée. Notons encore que les intéressés n'indiquent pas dans quel but précis l'audition de C._______, D._______ et E._______ est requise, si bien que le Tribunal de céans ignore quelle serait l'utilité de ces témoignages. Dans la mesure où cette demande est recevable, elle est également rejetée.</w:t>
      </w:r>
    </w:p>
    <w:p>
      <w:r>
        <w:rPr>
          <w:b/>
        </w:rPr>
        <w:t>E. 3.3</w:t>
      </w:r>
    </w:p>
    <w:p>
      <w:r>
        <w:t>Pour le surplus, le Tribunal administratif fédéral relève qu'au vu du dossier, l'état de fait est suffisamment complet pour qu'il puisse statuer en toute connaissance de cause.</w:t>
      </w:r>
    </w:p>
    <w:p>
      <w:r>
        <w:rPr>
          <w:b/>
        </w:rPr>
        <w:t>E. 4</w:t>
      </w:r>
    </w:p>
    <w:p>
      <w:r>
        <w:t>Les recourants invoquent une violation de leur droit d'être entendus, motifs pris que l'autorité inférieure n'aurait pas examiné les arguments soulevés dans leurs observations du 19 juillet 2010 et qu'elle n'aurait pas donné suite à leur offre de preuve.</w:t>
      </w:r>
    </w:p>
    <w:p>
      <w:r>
        <w:rPr>
          <w:b/>
        </w:rPr>
        <w:t>E. 4.1.1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[ci-après : vol. II], ch. 1346). Selon la jurisprudence, une autorité se rend coupable d'un déni de justice formel prohibé par l'art. 29 al. 1 Cst. si elle ne statue pas sur des griefs qui présentent une certaine pertinence (cf. ATF 125 III 440 consid. 2a, 124 V 130 consid. 4; arrêt du Tribunal fédéral 5P.334/2004 du 14 octobre 2004 et les références citées). En outre,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A-8330/2010 du 8 avril 2011 consid. 4.1.1 et les références citées, A-7025/2010 du 4 avril 2011 consid. 4.1.1, A-6258/2010 du 14 février 2011 consid. 5.2.2 et les références citées; Moor/Poltier, op. cit., ch. 2.2.7.3 p. 319 ss).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5P.378/2003 du 8 décembre 2003 consid. 3; arrêts du Tribunal administratif fédéral A-8330/2010 du 8 avril 2011 consid. 4.1.1 et les références citées et A-7025/2010 du 4 avril 2011 consid. 4.1.1).</w:t>
      </w:r>
    </w:p>
    <w:p>
      <w:r>
        <w:rPr>
          <w:b/>
        </w:rPr>
        <w:t>E. 4.1.2</w:t>
      </w:r>
    </w:p>
    <w:p>
      <w:r>
        <w:t>En l'espèce, la décision entreprise énonce les raisons pour lesquelles l'entraide administrative est accordée. L'autorité inférieure y explique en particulier que l'entraide est accordée lorsqu'il existe des soupçons sérieux quant à la commission de « fraudes et délits semblables » et les conditions qui doivent être remplies à cet effet. Elle a retenu que le recourant 2 était le bénéficiaire économique de la relation bancaire dont la recourante 1 était la titulaire. Elle a également résumé les arguments invoqués par les recourants et, pour les réfuter, a notamment renvoyé aux considérants précédents. Bien que cette motivation puisse paraître succincte à certains égards, elle permettait aux recourants de comprendre que leurs objections n'étaient pas considérées comme suffisantes par l'autorité inférieure, ainsi que les motifs pour lesquels l'AFC accordait l'entraide administrative. Le Tribunal de céans constate d'ailleurs que les recourants ont été en mesure de contester utilement la décision prise le 23 août 2010 par l'autorité inférieure. Dans ces conditions, il y lieu d'admettre, d'une part, que la décision attaquée satisfait aux exigences de motivation découlant du droit d'être entendu et, d'autre part, que l'autorité inférieure n'a commis aucun déni de justice formel au sens de l'art. 29 al. 1 Cst., en statuant sur certaines des objections du recourant par renvoi à ses considérants précédents. Par ailleurs, l'art. 6 al. 1 la convention du 4 novembre 1950 de sauvegarde des droits de l'homme et des libertés fondamentales (CEDH, RS 0.101) invoqué par les recourants dans leur réplique, garantissant notamment le droit à un procès équitable, n'est pas applicable dans le cadre de la procédure d'entraide administrative fondée sur la Convention 10 (cf. arrêt du Tribunal administratif fédéral A-4013/2010 du 15 juillet 2010 consid. 5.4.2 et les références citées; cf. également arrêts du Tribunal administratif fédéral A-7012/2010 du 21 mars 2011 consid. 4.2 et les références citées et A-8462/2010 du 2 mars 2011 consid. 4.3.1). Les griefs des recourants doivent par conséquent être écartés.</w:t>
      </w:r>
    </w:p>
    <w:p>
      <w:r>
        <w:rPr>
          <w:b/>
        </w:rPr>
        <w:t>E. 4.2.1</w:t>
      </w:r>
    </w:p>
    <w:p>
      <w:r>
        <w:t>Le droit d'être entendu, tel qu'il est garanti par l'art. 29 al. 2 Cst.,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(cf. ATF 129 II 497 consid. 2.2). En ce qui concerne la partie elle-même, il y a lieu de préciser qu'en matière fiscale, son droit d'être entendu est respecté si elle a pu s'exprimer par écrit sur les questions de fait et de droit qui la concernent (cf. arrêt du Tribunal administratif fédéral A-1360/2006 du 1er mars 2007 consid. 3.2.2 et les références citées). Quoi qu'il en soit, 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133 II 391 consid. 4.2.3 et les références citées; arrêts du Tribunal administratif fédéral A-8330/2010 du 8 avril 2011 consid. 4.2.1 et les références citées, A-7025/2010 du 4 avril 2011 consid. 4.2.1, A-1604/2006 du 4 mars 2010 consid. 2.4 et les références citées; MOSER/BEUSCH/KNEUBÜHLER, op. cit., ch. 3.144).</w:t>
      </w:r>
    </w:p>
    <w:p>
      <w:r>
        <w:rPr>
          <w:b/>
        </w:rPr>
        <w:t>E. 4.2.2</w:t>
      </w:r>
    </w:p>
    <w:p>
      <w:r>
        <w:t>Dans le cas précis, il convient de constater que, dans leurs observations du 19 juillet 2010, les recourants n'ont pas expressément requis de mesures d'instruction, ni fait d'offres de preuve. Ils ont simplement indiqué que B._______ était disposé à se déplacer dans les locaux de l'AFC pour y être entendu au sujet du compte litigieux, sans préciser en quoi cette audition pourrait s'avérer utile à la résolution de la contestation. Dans ces conditions, l'autorité inférieure pouvait mettre un terme à l'instruction, ce d'autant plus que l'administration des preuves à sa disposition lui avait permis de former sa conviction, en particulier, quant à l'octroi de l'entraide administrative. Le grief des recourants est ainsi infondé.</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arrêts du Tribunal administratif fédéral A-8330/2010 du 8 avril 2011 consid. 6.2 et les références citées, A-7025/2010 du 4 avril 2010 consid. 6.2). Il en avait déjà jugé ainsi s'agissant du terme « US domiciled » (cf. arrêt du Tribunal administratif fédéral A-4911/2010 du 30 novembre 2010 consid. 4.3).</w:t>
      </w:r>
    </w:p>
    <w:p>
      <w:r>
        <w:rPr>
          <w:b/>
        </w:rPr>
        <w:t>E. 5.2.1</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A-8330/2010 du 8 avril 2011 consid. 6.2.2 et les références citées, A-7025/2010 du 4 avril 2011 consid. 6.2.2).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A-8330/2010 du 8 avril 2011 consid. 6.2.2 et les références citées, A-7025/2010 du 4 avril 2011 consid. 6.2.2).</w:t>
      </w:r>
    </w:p>
    <w:p>
      <w:r>
        <w:rPr>
          <w:b/>
        </w:rPr>
        <w:t>E. 5.2.2</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A-8330/2010 du 8 avril 2011 consid. 6.2.3 et les références citées, A-7025/2010 du 4 avril 2011 consid. 6.2.3).</w:t>
      </w:r>
    </w:p>
    <w:p>
      <w:r>
        <w:rPr>
          <w:b/>
        </w:rPr>
        <w:t>E. 5.3</w:t>
      </w:r>
    </w:p>
    <w:p>
      <w:r>
        <w:t>En l'espèce, se basant sur les documents transmis par UBS SA, l'AFC a admis que la recourante 1 était la titulaire du compte *** et que le recourant 2 en était l'ayant droit économique.</w:t>
      </w:r>
    </w:p>
    <w:p>
      <w:r>
        <w:rPr>
          <w:b/>
        </w:rPr>
        <w:t>E. 5.3.1</w:t>
      </w:r>
    </w:p>
    <w:p>
      <w:r>
        <w:t>Au regard des différents formulaires A ainsi que d'un courrier du 10 mars 2006, il apparaît que le compte UBS incriminé a été ouvert au nom de la recourante 1, laquelle est indiquée comme titulaire du compte, et qu'il a existé durant une période d'au moins 3 ans entre 1999 et 2008 (cf. pièces no ***_4_00078 ss du dossier de l'AFC). Le formulaire A « Identification de l'ayant droit économique », établi le 8 décembre 2000, indique que le recourant 2 était l'ayant droit économique auquel appartenaient les valeurs confiées à UBS SA. Plus précisément, en réponse à la phrase « Le/La soussigné(e) déclare : », c'est la rubrique « que l'ayant droit économique des valeurs patrimoniales est : Nom/Prénom (ou raison sociale) ; Adresse/Siège, Etat » qui a été cochée et les données du recourant qui ont été indiquées (cf. pièces no ***_4_00079 du dossier de l'AFC).</w:t>
      </w:r>
    </w:p>
    <w:p>
      <w:r>
        <w:rPr>
          <w:b/>
        </w:rPr>
        <w:t>E. 5.3.2</w:t>
      </w:r>
    </w:p>
    <w:p>
      <w:r>
        <w:t>Par conséquent et au vu de ce qui précède, il y a lieu de constater que sur la base des documents transmis par UBS SA, l'AFC disposait de suffisamment d'éléments pour conclure que la recourante 1 était la titulaire du compte *** et que le recourant 2 en était l'ayant droit économique (cf. consid. 2.4 ci-avant). L'état de fait, tel que constaté par l'AFC dans sa décision finale du 23 août 2010, n'apparaît dès lors pas manifestement erroné, lacunaire ou contradictoire.</w:t>
      </w:r>
    </w:p>
    <w:p>
      <w:r>
        <w:rPr>
          <w:b/>
        </w:rPr>
        <w:t>E. 5.4</w:t>
      </w:r>
    </w:p>
    <w:p>
      <w:r>
        <w:t>Dans ces conditions, il reste à examiner si les recourants réussissent à réfuter de manière claire et décisive les soupçons fondés quant à la personne de l'ayant droit économique. Autrement dit, il appartient aux recourants d'apporter la preuve que le recourant 2 n'était pas le bénéficiaire économique du compte concerné (cf. consid. 2.4 ci-avant).</w:t>
      </w:r>
    </w:p>
    <w:p>
      <w:r>
        <w:rPr>
          <w:b/>
        </w:rPr>
        <w:t>E. 5.4.1</w:t>
      </w:r>
    </w:p>
    <w:p>
      <w:r>
        <w:t>Se fondant pour l'essentiel sur les mêmes documents que ceux produits devant l'AFC, les recourants expliquent que V._______ - société sise à *** ayant pour but l'assistance juridique, commerciale et technique à d'autres entreprises, ainsi que les opérations commerciales et financières (cf. pièce no 1 du dossier des recourant) - aurait constitué X._______ en 1982 à *** (cf. pièce no 2 dossier des recourants), puis la recourante 1 en 1988 à *** (cf. pièces no 8 et 9 du dossier des recourants). En 1993, B._______, ancien membre du Conseil d'Administration de V._______ aurait fondé W._______, entreprise ayant pour siège *** et pour but le conseil en matière commerciale, fiscale et immobilière, ainsi que la gestion de sociétés (cf. pièce no 10 du dossier des recourants). Des actionnaires et organes de W._______ auraient été nommés en 1993 aux fonctions d'administrateur de la recourante 1 (cf. pièce no 11 du dossier des recourants). Les organes de V._______, puis le Conseil d'Administration et certains employés de W._______ auraient disposé d'un pouvoir de signature sur la relation bancaire *** (cf. pièces no 3 à 6 et 12 à 14 du dossier des recourants). Les recourants soutiennent également que le compte UBS incriminé aurait été exploité dans le cadre des opérations hors-bilan conduites par W._______ sur mandat de sa clientèle, à savoir O._______, P._______, Q._______ et le recourant 2 (cf. pièces no 15 à 18 du dossier des recourants). Ils prétendent que l'épargne du recourant 2 aurait été placée auprès de la Banque Z._______, à ***, et que les avoirs crédités par le recourant 2 entre le 1er janvier 2001 et le 31 août 2008 sur le compte UBS litigieux, détenu par la recourante 1, se serait limités à trois opérations de passage pour un total de 51'500.-- (cf. pièces no 21, 22, 27, 35 et 36 du dossier des recourants). La relation bancaire *** aurait servi pour l'essentiel à des opérations commerciales dans le secteur des outils diamantés réalisées au profit de O._______, qui était indiquée comme bénéficiaire économique dans le formulaire A établi le 18 novembre 1992 (cf. pièces no 15 et 32, ainsi que 37 à 39 du dossier des recourants). Aux dires des recourants, le compte aurait ainsi été presque exclusivement alimenté par des virements de U._______, sise au *** (cf. pièces no 30 et 34 du dossier des recourants). Ils prétendent en outre que les notes internes d'UBS SA désignerait O._______ comme bénéficiaire économique de la relation bancaire litigieuse (cf. pièces no 28 et 29 du dossier des recourants; cf. également pièces no ***_3_00001 ss).</w:t>
      </w:r>
    </w:p>
    <w:p>
      <w:r>
        <w:rPr>
          <w:b/>
        </w:rPr>
        <w:t>E. 5.4.2</w:t>
      </w:r>
    </w:p>
    <w:p>
      <w:r>
        <w:t>L'ensemble de ces éléments tendent à démontrer, d'une part, que les fonds détenus sur le compte *** provenaient dans une importante mesure de virements effectués par U._______ et, d'autre part, que hormis le recourant 2 d'autres personnes, dont O._______, semblent avoir bénéficié des fonds déposés sur la relation bancaire incriminée. Cela étant, les arguments et documents précités ne permettent pas de prouver de manière claire et décisive que le recourant 2 n'était pas le bénéficiaire économique du compte UBS concerné.</w:t>
      </w:r>
    </w:p>
    <w:p>
      <w:r>
        <w:rPr>
          <w:b/>
        </w:rPr>
        <w:t>E. 5.4.2.1</w:t>
      </w:r>
    </w:p>
    <w:p>
      <w:r>
        <w:t>En effet, conformément aux critères définis dans l'annexe à la Convention 10, la provenance des valeurs confiées à UBS SA est sans pertinence, l'AFC devant en particulier calculer les revenus réalisés sur les comptes UBS concernés par la procédure d'entraide administrative indépendant de l'origine des avoirs en cause. A ce propos, le Tribunal de céans souligne que l'adéquation des conditions de l'entraide administrative définies par la Convention 10 ne saurait être vérifiée (cf. arrêts du Tribunal administratif fédéral A-6302/2010 du 28 mars 2011 consid. 8.2.2 et A-6258/2010 du 14 février 2011 consid. 9.2.2). Il s'ensuit qu'il importe peu de savoir qui de U._______ ou du recourant 2 a pour l'essentiel alimenté la relation bancaire ***.</w:t>
      </w:r>
    </w:p>
    <w:p>
      <w:r>
        <w:rPr>
          <w:b/>
        </w:rPr>
        <w:t>E. 5.4.2.2</w:t>
      </w:r>
    </w:p>
    <w:p>
      <w:r>
        <w:t>En outre, le fait que les différents formulaires A, établis les 8 décembre 2000, 22 mars 1994 et 18 novembre 1992, indiquent que les ayants droit économiques auxquels appartenaient les valeurs confiées à UBS SA étaient - outre le recourant 2 - respectivement, Q._______, P._______ et O._______ n'est pas suffisamment probant pour réfuter le soupçon initial, fondé sur les documents transmis par UBS SA à l'AFC, selon lequel le recourant 2 était bénéficiaire économique du compte *** (cf. consid. 5.3 ci-avant). Cette situation tend tout au plus à démontrer qu'il semblerait que, en plus du recourant 2, d'autres personnes auraient bénéficié des avoirs déposés sur la relation bancaire susdite. Cela étant, même si on admettait que Q._______, P._______ et O._______ devaient eux aussi être considérés comme des bénéficiaires économiques (« beneficially owned »; cf. consid. 5.2 ci-avant), cet élément n'est en soit pas suffisant à prouver de manière claire et décisive que le recourant 2 n'était, quant à lui, pas un ayant droit économique du compte ***. Or, il appartient aux recourants d'apporter la preuve que le recourant 2 n'était pas l'ayant droit économique de la relation bancaire précitée et non pas de démontrer que d'autres personnes pouvaient également en être les bénéficiaires économiques (cf. consid. 2.4 ci-avant). A cet égard, on relèvera que le seuil de la moyenne annuelle de CHF 100'000.-- sur trois ans n'est pas lié à la personne du titulaire et/ou du bénéficiaire économique du compte concerné, mais au compte lui-même. Dans l'arrêt A-4013/2010 du 15 juillet 2010, le Tribunal administratif fédéral a admis que l'annexe à la Convention 10 - plus spécifiquement le ch. 2 let. A/b ch. ii - indiquait clairement que c'était le compte détenu auprès d'UBS SA qui générait des revenus annuels moyens de plus de CHF 100'000.-- sur trois ans (cf. arrêt du Tribunal administratif fédéral A-4013/2010 du 15 juillet 2010 consid. 8.3.3 in fine; cf. également arrêts du Tribunal administratif fédéral A-4161/2010 du 3 février 2011 consid. 7.3 et A-3545/2010 du 17 janvier 2011 consid. 4.1, 5.2 et 5.4). S'agissant de la catégorie 2/B/b ici en cause, il n'y a pas de raison d'interpréter différemment la notion de revenus annuels moyens générés sur trois en ans consécutifs. En effet, le ch. 2 let. B/b ch. i et ii stipule que « (i) le compte de la société offshore a existé pendant une période prolongée (c'est-à-dire au moins trois ans dont un an couvert par la demande d'entraide administrative) et (ii) les revenus générés se montent à plus de 100'000 francs en moyenne par ans pour toute période de trois ans incluant un an au moins couvert par la demande d'entraide administrative ». La version anglaise de l'annexe à la Convention 10 - comme déjà dit seule déterminante (cf. consid. 5.1 ci-avant) - indique expressément, s'agissant de la catégorie 2/B/b, «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 Il s'ensuit que pour la catégorie 2/B/b le seuil de la moyenne annuelle de CHF 100'000.-- sur trois ans est lié au compte de la société offshore lui-même et non à la personne de l'ayant droit économique. Il est dès lors sans importance que plusieurs personnes aient été bénéficiaires économiques du compte, puisque la personne concernée par la demande de renseignements de l'IRS peut être l'une des personnes qui étaient ayants droit économiques du compte en question. Dans ces conditions, il importe peu de savoir si - en plus du recourant 2 - d'autres personnes bénéficiaient du compte UBS incriminé. De même, le montant total des avoirs confiés à UBS SA appartenant directement au recourant 2 n'est pas déterminant, tout comme le fait de savoir si cette somme n'a fait que transité sur la relation bancaire *** - ce qui n'est en soi pas tranché - n'est pas pertinent. Les arguments des recourants sont, pour l'ensemble de ces motifs, mal fondés. En outre, au vu des pièces au dossier, le recourant 2 reste considéré comme bénéficiaire économique du compte UBS susdit.</w:t>
      </w:r>
    </w:p>
    <w:p>
      <w:r>
        <w:rPr>
          <w:b/>
        </w:rPr>
        <w:t>E. 5.4.2.3</w:t>
      </w:r>
    </w:p>
    <w:p>
      <w:r>
        <w:t>Le courrier du 5 juillet 2010 de W._______ signé par B._______ (cf. pièce no 27 du dossier des recourants) ne permet pas de modifier cette appréciation, mais semble bien plus la confirmer. En effet, cette pièce - qui indique que W._______ a établi le 8 décembre 2000 un formulaire A désignant le recourant 2 comme l'un des ayants droit économique des valeurs patrimoniales transférées sur la relation bancaire litigieuse et qui mentionne les montants des avoirs appartenant au recourant 2 qui auraient transité sur le compte UBS concerné, tout en précisant que le recourant 2 n'était pas l'actionnaire ou le bénéficiaire économique de la recourante 1 - ne permet pas de prouver de manière claire et décisive que le recourant 2 n'était pas l'ayant droit économique de la relation bancaire ***. Au contraire, il y est expressément indiqué que le recourant 2 était l'un des bénéficiaires économiques de la relation bancaire litigieuse. Compte tenu des critères définis dans l'annexe à la Convention 10, il importe peu de savoir si le recourant 2 était actionnaire ou ayant droit économique de la recourante 1, ce qui est déterminant c'est qu'il ait été bénéficiaire économique du compte UBS litigieux détenu par la recourante 1. Au demeurant, dans la mesure où les recourants souhaiteraient tirer avantage du document précité, il conviendrait de préciser que celui-ci a été établi postérieurement à la période ici considérée, soit à la suite de l'ouverture de la procédure d'entraide administrative concernant les recourants. Or, les pièces établies après coup, pour le besoin de la cause, ont, sur le plan fiscal, une valeur probante limitée (cf. arrêts du Tribunal administratif fédéral du A-8330/2010 du 8 avril 2011 consid. 7.3.2 et les références citées, A-7025/2010 du 4 avril 2011 consid. 7.3.2, A-1107/2008 et A-1108/2008 du 15 juin 2010 consid. 8.2.2 et 9.1.2.2 et les références citées).</w:t>
      </w:r>
    </w:p>
    <w:p>
      <w:r>
        <w:rPr>
          <w:b/>
        </w:rPr>
        <w:t>E. 5.4.3</w:t>
      </w:r>
    </w:p>
    <w:p>
      <w:r>
        <w:t>En conclusion, vu ce qui précède, l'ensemble des documents auxquels se réfère les recourants ne remplit pas les conditions de preuve exigées par la jurisprudence du Tribunal administratif fédéral précitée (cf. A-4911/2010 du 30 novembre 2010 consid. 1.4.2, 1.4.3 et 6.4.2 et les références citées). En effet, les pièces en question ne sont pas de nature à réfuter de manière claire et décisive les soupçons quant au fait que le critère « beneficially owned » (dans la traduction en français « ayants droit économiques ») est rempli dans le cas du recourant 2.</w:t>
      </w:r>
    </w:p>
    <w:p>
      <w:r>
        <w:rPr>
          <w:b/>
        </w:rPr>
        <w:t>E. 6</w:t>
      </w:r>
    </w:p>
    <w:p>
      <w:r>
        <w:t>Durant la période en cause, le recourant 2, qui est de nationalité américaine, était l'ayant droit économique du compte bancaire UBS ***. Ce compte était détenu par la recourante 1 pendant une période d'au moins 3 ans entre 1999 et 2008. Le recourant 2 remplit ainsi les conditions de la Convention 10 relatives à sa personne. Le recourant 2 n'a pas autorisé l'AFC à demander à l'IRS des copies des déclarations FBAR pour la période concernée. De plus, la relation bancaire incriminée a existé pendant plus de trois ans, dont un an au moins durant la période 2001 à 2008. D'après la décision entreprise, des revenus d'au moins CHF 357'691.-- ont été réalisés entre 2001 et 2003. Le seuil relatif aux revenus annuels moyens sur trois ans a ainsi été dépassé durant les années 2001 à 2003. Les chiffres fournis par l'autorité inférieure ne sont en soi pas contestés par les recourants, ceux-ci alléguant simplement que seuls 51'500.-- du montant total des avoirs confiés à UBS SA appartiendraient au recourant 2. Or, comme on vient de le voir (cf. consid. 5.4.2.2 ci-avant), le seuil de la moyenne annuelle de CHF 100'000.-- sur trois ans est lié au compte de la société offshore lui-même et non à la personne de l'ayant droit économique, de sorte qu'il est calculé en tenant compte de l'ensemble des revenus générés par le compte de la société offshore indépendamment de l'appartenance des valeurs à l'origine de ces revenus. Les recourants ne font pas valoir que l'autorité inférieure aurait fait des erreurs de calculs ou d'addition. Tous les critères de la catégorie 2/B/b sont ainsi remplis et c'est dès lors à juste titre que l'AFC a décidé d'accorder l'entraide administrative sollicitée.</w:t>
      </w:r>
    </w:p>
    <w:p>
      <w:r>
        <w:rPr>
          <w:b/>
        </w:rPr>
        <w:t>E. 7</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17'500.--, comprenant l'émolument judiciaire et les débours, sont mis à la charge des recourants, qui succombent. Ce dernier montant est compensé avec l'avance de frais totale déjà versée de CHF 25'000.--, le solde étant restitué aux recourants. Une indemnité à titre de dépens n'est pas allouée aux recourants (cf. art. 64 al. 1 PA a contrario, respectivement art. 7 al. 1 FITAF a contrario).</w:t>
      </w:r>
    </w:p>
    <w:p>
      <w:r>
        <w:rPr>
          <w:b/>
        </w:rPr>
        <w:t>E. 8</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