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A-7015/2008 vom 6. Dezember 2010</w:t>
      </w:r>
    </w:p>
    <w:p>
      <w:r>
        <w:t>Bundesverwaltungsgericht, 2010-12-06, FR</w:t>
      </w:r>
    </w:p>
    <w:p>
      <w:r>
        <w:rPr>
          <w:b/>
        </w:rPr>
        <w:t xml:space="preserve">Quelle: </w:t>
      </w:r>
      <w:r>
        <w:t>https://mcp.opencaselaw.ch/entscheid/bvger_A-7015_2008</w:t>
      </w:r>
    </w:p>
    <w:p>
      <w:r>
        <w:t>FR: TAF A-7015/2008 du 6 décembre 2010</w:t>
      </w:r>
    </w:p>
    <w:p>
      <w:r>
        <w:t>IT: TAF A-7015/2008 del 6 dicembre 2010</w:t>
      </w:r>
    </w:p>
    <w:p>
      <w:pPr>
        <w:pStyle w:val="Heading2"/>
      </w:pPr>
      <w:r>
        <w:t>Regeste</w:t>
      </w:r>
    </w:p>
    <w:p>
      <w:r>
        <w:t>Expropriation</w:t>
      </w:r>
    </w:p>
    <w:p>
      <w:pPr>
        <w:pStyle w:val="Heading2"/>
      </w:pPr>
      <w:r>
        <w:t>Erwägungen</w:t>
      </w:r>
    </w:p>
    <w:p>
      <w:r>
        <w:rPr>
          <w:b/>
        </w:rPr>
        <w:t>E. 8</w:t>
      </w:r>
    </w:p>
    <w:p>
      <w:r>
        <w:t>Cela étant, il convient d'examiner si la violation du droit d'être entendue de A._______ peut être réparée par le Tribunal de céans.</w:t>
      </w:r>
    </w:p>
    <w:p>
      <w:r>
        <w:rPr>
          <w:b/>
        </w:rPr>
        <w:t>E. 8.1</w:t>
      </w:r>
    </w:p>
    <w:p>
      <w:r>
        <w:t>A._______ conclut subsidiairement à ce que la cause soit renvoyée à la Commission fédérale pour qu'elle statue à nouveau après avoir ordonné l'administration d'une surexpertise. Les expropriés avancent quant à eux qu'il est inutile d'administrer une nouvelle expertise.</w:t>
      </w:r>
    </w:p>
    <w:p>
      <w:r>
        <w:rPr>
          <w:b/>
        </w:rPr>
        <w:t>E. 8.2</w:t>
      </w:r>
    </w:p>
    <w:p>
      <w:r>
        <w:t>Le droit d'être entendu étant de nature formelle, sa violation entraîne en principe l'annulation de la décision viciée, indépendamment des chances de succès du recours sur le fond (cf. ATF 127 V 431 consid. 3d/aa; ATAF 2007/27 consid. 10.1). Selon une jurisprudence constante, qui se fonde sur des motifs d'économie de procédure, la violation du droit d'être entendu peut cependant, à titre exceptionnel et pour autant que ladite violation ne soit pas particulièrement grave, être réparée par l'autorité de recours si le pouvoir d'examen en fait et en droit de cette dernière n'est d'aucune façon limitée par rapport à celui de l'autorité précédente et qu'il n'en résulte aucun préjudice pour l'intéressé (ATF 133 I 201 consid. 2.2, ATF 132 V 387 consid. 5.1, ATF 127 V 431 consid. 3d/aa, ATF 116 V 182 consid. 3d; arrêts du Tribunal administratif fédéral A-4353/2010 du 28 septembre 2010 consid. 3.1.2, A-102/2010 du 20 avril 2010 consid. 3.3 et A-7391/2008 du 19 octobre 2009 consid. 4.1.3; Moser/Beusch/Kneubühler, op. cit., n. 3.112 s.). Une réparation est en revanche généralement exclue lorsque le vice porte sur des questions relevant du pouvoir d'appréciation de l'autorité inférieure et faisant appel à des connaissances spéciales, notamment techniques, à condition bien entendu que ces questions soient déterminantes pour trancher le litige en cause. En effet, l'autorité de recours, disposant même d'un plein pouvoir d'examen (cf. art. 49 PA) ne revoit ces questions qu'avec retenue (cf. consid. 3). Elle est dès lors particulièrement mal placée pour les traiter de manière fouillée et pour procéder le cas échéant aux investigations nécessaires, de sorte qu'une réparation serait, dans de telles conditions, de toute manière contraire aux intérêts du recourant (cf. ATF 132 V 387 consid. 5.1, ATF 129 I 135; arrêt du Tribunal administratif fédéral B-1098/2007 du 18 janvier 2010; Moser/Beusch/Kneubühler, op. cit., n. 3.112). Autrement dit, la réparation du droit d'être entendu doit être réservée aux cas de violations peu importantes et aisément réparables, dans lesquels un renvoi de la cause à l'autorité précédente s'avère inutilement formaliste. Elle doit en outre être conforme aux intérêts du recourant qui pourra selon les cas avoir avantage à obtenir rapidement une décision mettant fin à la procédure (arrêt du TF 9C_419/2007 du 11 mars 2008 consid. 2.2; ATF 133 I 201, ATF 132 V 387 consid. 5.1).</w:t>
      </w:r>
    </w:p>
    <w:p>
      <w:r>
        <w:rPr>
          <w:b/>
        </w:rPr>
        <w:t>E. 8.3</w:t>
      </w:r>
    </w:p>
    <w:p>
      <w:r>
        <w:t>En l'occurrence et au vu de la jurisprudence rappelée ci-dessus, le Tribunal de céans n'est pas en mesure de réparer lui-même la violation du droit d'être entendue de A._______. En effet, la violation commise doit être considérée comme grave, si ce n'est comme particulièrement grave. La Commission fédérale a en effet refusé d'ordonner une surexpertise et s'est basée sur la valeur vénale de la propriété sans ligne électrique fixée dans l'expertise alors qu'il est établi qu'une ligne 220 kV « St-Triphon-Chamoson » existait sur le même tracé avant la mise en place de la ligne 380/132 kV. Or, une telle circonstance est de nature à influer, dans une large mesure, sur le montant de l'indemnité. En outre, le vice en cause porte sur la question du calcul de l'indemnité d'expropriation qui relève du large pouvoir d'appréciation de la Commission fédérale et nécessite des connaissances techniques. La Commission fédérale est mieux à même que le juge de traiter de telles questions. Autrement dit, il est préférable que l'autorité la plus compétente dans le domaine se prononce sur ces éléments. Le juge n'est pas le mieux placé pour traiter de manière fouillée la question de l'impact de lignes à haute tension, respectivement de 220 et 380 kV sur la valeur vénale d'une propriété et donc sur le montant de l'indemnité. Une réparation de la violation du droit d'être entendu serait ainsi contraire aux intérêts des parties. Au demeurant, le renvoi de la cause à la Commission fédérale permet de sauvegarder le principe de la double instance. Au vu du dossier, il apparaît d'ailleurs que l'état de fait déterminant a été manifestement constaté de manière inexacte et qu'il y a donc eu violation grave de l'art. 49 let. b PA. Or, dans une telle circonstance, une décision en réforme du TAF n'entre plus en ligne de compte (arrêt du Tribunal administratif fédéral A-5570/2009 du 24 mars 2010 consid. 8; Moser/Kneubühler/Beusch, op. cit., p. 179, n. 3.193 ss; Philippe Weissenberger, in: Bernhard Waldmann/Philippe Weissenberger, op. cit., ad art. 61, n. 15 ss).</w:t>
      </w:r>
    </w:p>
    <w:p>
      <w:r>
        <w:rPr>
          <w:b/>
        </w:rPr>
        <w:t>E. 9</w:t>
      </w:r>
    </w:p>
    <w:p>
      <w:r>
        <w:t>Au vu de ce qui précède, le recours de A._______ doit être partiellement admis et celui des expropriés rejeté, dans la mesure où il est recevable, dans le sens des considérants. La cause est renvoyée à la Commission fédérale pour qu'elle ordonne l'administration d'une surexpertise et qu'elle prenne ensuite une nouvelle décision sur cette base. La nouvelle expertise fixera en particulier la valeur vénale de la propriété concernée alors que celle-ci était déjà grevée d'une servitude de passage pour la ligne 220 kV. L'expert fixera aussi la valeur vénale de l'immeuble suite au remplacement de la ligne 220 kV par la ligne 380/132 kV en tenant compte du fait que les valeurs limites de l'ORNI et de l'OPB sont respectées et que la maison des recourants peut, par conséquent, être utilisée à des fins d'habitation. Dans l'acte attaqué, la Commission fédérale a certes considéré être en mesure de fixer elle-même la dévaluation de la valeur vénale de la propriété suite à la mise en place de la ligne 380 kV. Le Tribunal de céans ne voit toutefois pas de motif sérieux - a priori - de se fonder sur l'avis d'un expert pour ce qui est de la valeur vénale d'un immeuble survolé par une ligne 220 kV et de s'en écarter lorsque cet immeuble se trouve sous l'emprise d'une ligne 380 kV. Sur la base des valeurs fixées dans cette nouvelle expertise, la Commission fédérale déterminera ensuite la moins-value que subit la propriété des expropriés et l'indemnité à laquelle ces derniers peuvent éventuellement prétendre.</w:t>
      </w:r>
    </w:p>
    <w:p>
      <w:r>
        <w:rPr>
          <w:b/>
        </w:rPr>
        <w:t>E. 10</w:t>
      </w:r>
    </w:p>
    <w:p>
      <w:r>
        <w:t>Dans le cadre du présent litige, la question des frais et dépens est réglée par les art. 114 ss LEx (arrêts du Tribunal administratif fédéral A-8433/2007 du 3 novembre 2009 consid. 10, A-4676/2007 du 11 décembre 2007 consid. 8 et A-996/2007 du 9 août 2007 consid. 7 et les réf. citées). A teneur de l'art. 116 LEx, les frais et dépens sont en principe mis à la charge de l'expropriant. Lorsque les conclusions de l'exproprié sont entièrement rejetées, la répartition peut toutefois être effectuée différemment. Dans tous les cas, les frais sont mis à la charge de la partie qui les a provoqués. En l'espèce, les frais fixés à 3'000.- francs seront mis à la charge de A._______. Ils seront prélevés sur l'avance de frais de 3'000.- francs déjà versée. En l'absence de décompte présenté au Tribunal, il appartient à celui-ci de fixer l'indemnité due selon sa libre appréciation et sur la base du dossier, une motivation sommaire à ce sujet étant suffisante (MOSER/BEUSCH/KNEUBÜHLER, op. cit., n. 4.87). Dans ce cadre, le Tribunal tiendra compte notamment de l'importance et de la difficulté du litige, ainsi que du travail et du temps que le représentant a dû y consacrer (cf. art. 10 al. 1 et 14 al. 2 FITAF; arrêt du Tribunal administratif fédéral A-7935/2008 du mars 2010 consid. 9). En l'occurrence, il y a lieu de prendre en compte les nombreux échanges d'écritures et la participation du mandataire des expropriés à la vision locale du 22 décembre 2009. Il faut en outre prendre en considération le fait que le représentant des expropriés est intervenu au même titre dans la cause A-7048/2008, qui porte sur des faits et des questions juridiques connexes à ceux du présent litige. L'indemnité de dépens due aux expropriés sera ainsi fixée, en équité, à 6'500.- francs (TVA comprise) et sera mise à la charge de l'expropriante.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