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A-6992/2010 vom 12. Juli 2012</w:t>
      </w:r>
    </w:p>
    <w:p>
      <w:r>
        <w:t>Bundesverwaltungsgericht, 2012-07-12, FR</w:t>
      </w:r>
    </w:p>
    <w:p>
      <w:r>
        <w:rPr>
          <w:b/>
        </w:rPr>
        <w:t xml:space="preserve">Quelle: </w:t>
      </w:r>
      <w:r>
        <w:t>https://mcp.opencaselaw.ch/entscheid/bvger_A-6992_2010</w:t>
      </w:r>
    </w:p>
    <w:p>
      <w:r>
        <w:t>FR: TAF A-6992/2010 du 12 juillet 2012</w:t>
      </w:r>
    </w:p>
    <w:p>
      <w:r>
        <w:t>IT: TAF A-6992/2010 del 12 luglio 2012</w:t>
      </w:r>
    </w:p>
    <w:p>
      <w:pPr>
        <w:pStyle w:val="Heading2"/>
      </w:pPr>
      <w:r>
        <w:t>Regeste</w:t>
      </w:r>
    </w:p>
    <w:p>
      <w:r>
        <w:t>Douanes</w:t>
      </w:r>
    </w:p>
    <w:p>
      <w:pPr>
        <w:pStyle w:val="Heading2"/>
      </w:pPr>
      <w:r>
        <w:t>Erwägungen</w:t>
      </w:r>
    </w:p>
    <w:p>
      <w:r>
        <w:rPr>
          <w:b/>
        </w:rPr>
        <w:t>E. 4</w:t>
      </w:r>
    </w:p>
    <w:p>
      <w:r>
        <w:t>En l'espèce, la recourante s'est vue délivrer en date du 23 avril 2008 une autorisation pour le trafic de perfectionnement, précisément pour importer du tabac homogénéisé dans le cadre du trafic de perfectionnement en système de suspension. Ainsi, l'autorisation n° [...] du 23 avril 2008 habilitait la recourante à importer temporairement jusqu'au 26 avril 2009, dans le système de suspension, du tabac homogénéisé de grade RECON 104S (n° de tarif 2403.9100) en quantité illimitée. Le genre de perfectionnement indiqué était le mélange avec d'autres tabacs importés pour la fabrication de diverses cigarettes. L'autorisation était assortie d'un certain nombre de charges, telles qu'un délai d'exportation de douze mois à compter de l'importation en question, ainsi qu'un délai de décompte de soixante jours à compter de l'expiration du délai d'exportation, comme prévu à l'art. 59 al. 4 LD.</w:t>
      </w:r>
    </w:p>
    <w:p>
      <w:r>
        <w:rPr>
          <w:b/>
        </w:rPr>
        <w:t>E. 4.1</w:t>
      </w:r>
    </w:p>
    <w:p>
      <w:r>
        <w:t>Précisément, la dernière importation concernant l'autorisation susmentionnée a eu lieu le 20 mars 2009, le délai d'exportation échéant ainsi le 20 mars 2010 et le délai de décompte le 20 mai 2010. Par lettre du 4 juin 2010, la DGD impartit un délai supplémentaire de dix jours à compter de la remise de la lettre pour lui transmettre le décompte final. Comme la lettre de la DGD a été retirée au guichet postal de [...] en date du 9 juin 2010, la recourante avait donc jusqu'au 21 juin 2010 pour s'exécuter, le 19 juin 2010 tombant un samedi. C'est le 25 juin 2010 (date de remise à la poste) que la recourante a envoyé à la DGD les documents de décompte qui lui étaient réclamés, dès lors hors délai. L'autorité douanière a pourtant exigé la présentation des documents d'exportation démontrant indubitablement que la marchandise en question a été exportée dans le délai fixé dans l'autorisation. Toutefois, aucun des documents douaniers n'a été produit à temps par la recourante, et ce malgré un délai supplémentaire de dix jours qui lui a été octroyé par l'autorité inférieure. La preuve matérielle que les ouvrages avaient été exportés en dehors du territoire douanier suisse n'a ainsi pas été apportée à temps, et ce en contradiction avec les charges de l'autorisation n° [...] pour le trafic de perfectionnement actif dont les limites temporelles sont prévues à l'art. 59 LD (cf. consid. 2.5. et 2.6. ci-avant). Il est encore précisé que la DGD avait souligné, dans le cadre de sa lettre du 18 avril 2008 à l'adresse de la recourante, que la demande de décompte (formulaire 47.92) devait être présentée dans le délai fixé selon l'autorisation et que la recourante avait également la possibilité d'établir des décomptes à intervalle régulier. Au surplus, la recourante n'a pas attaqué la décision d'autorisation relative au perfectionnement actif, de sorte que celle-ci est entrée en force. La recourante a ainsi accepté les charges qui grevaient cette autorisation, en particulier celle relative au délai de décompte de soixante jours, et se devait de le respecter (cf. consid. 3.5 in fine ci-avant et la jurisprudence citée; voir également la jurisprudence constante de la CRD, dont les décisions de la CRD du 7 octobre 2002 in JAAC 67.43 consid. 2b, CRD 2002-109 du 19 février 2003 consid. 2, 2002-057 du 16 janvier 2003 consid. 2, 2001-035 du 28 février 2002 consid. 2, 2000-007 du 27 juillet 2000 consid. 2; jurisprudence confirmée par les arrêts du Tribunal fédéral 2A.471/2002, 2A.452/2002, 2A.453/2002 du 6 décembre 2002 consid. 4). Dès lors, tous les griefs de la recourante concernant le principe ou la durée du délai de décompte qui figurait dans l'autorisation pour le perfectionnement actif doivent être écartés car tardifs. En effet, ils auraient dû être soulevés dans le cadre d'un recours contre l'autorisation précitée. Ceci correspond à une jurisprudence constante de la CRD, dont le Tribunal de céans ne voit aucun motif de s'écarter dans le cas présent (cf. décision de la CRD du 7 octobre 2002 précitée consid. 3c, 2002-109 du 19 février 2003 consid. 3c, 2002-057 du 16 janvier 2003 consid. 3c, 2001-042 du 23 avril 2002 consid. 3b/bb, 1999-005 du 17 novembre 1999 consid. 2; voir également, arrêt du Tribunal administratif fédéral A-5887/2009 précité consid. 3.2.2). Le Tribunal de céans peut par ailleurs se dispenser d'examiner la nature du délai imposé à l'art. 59 al. 4 LD, savoir s'il s'agit d'un délai de prescription ou de péremption, dans la mesure où ce délai n'a quoi qu'il en soit pas été respecté. Il peut également laisser la question ouverte de savoir si l'AFC était en droit d'octroyer un délai supplémentaire pour la remise du décompte litigieux, puisque la recourante n'a de toute manière pas observé le délai supplémentaire de dix jours que lui a octroyé l'autorité inférieure. La recourante ne le conteste d'ailleurs nullement.La recourante fait valoir d'autres arguments sur lesquels il convient de se prononcer. Tout d'abord, la recourante soutient que le délai supplémentaire de dix jours que lui a octroyé la DGD ne constituerait pas un délai péremptoire (cf. réplique du 7 janvier 2011, p. 2 ch. 4). Cela étant, la recourante s'abstient de tirer de plus amples conclusions de cette prémisse. Le Tribunal de céans ne voit guère, pour sa part, ce qu'il s'agirait d'en déduire. Il est en effet constant que, péremptoire ou non, le délai supplémentaire en question n'a pas été observé. Ensuite, la recourante expose que l'inobservation du délai ne correspond pas à une intention de tricher, mais à la nécessité de faire face à d'autres obligations prioritaires d'un point de vue économique et de gestion d'entreprise. Le Tribunal de céans ne peut connaître de ces éléments que sous l'angle de la restitution de délai. La LD ne prévoit pas de restitution de délai pour les motifs susdits et la PA n'est pas directement applicable (cf. arrêt du Tribunal administratif fédéral A-6660/2011 du 29 mai 2012 consid. 1.2). Cela étant, la possibilité de restitution des délais est un principe général du droit (cf. ATF 117 Ia 301, 108 V 109). Dès lors, les délais légaux ou impartis par l'autorité peuvent être restitués sur requête, lorsque le requérant ou son mandataire s'est trouvé empêché sans sa faute d'agir dans le délai fixé. Une requête spécifique doit toutefois être déposée dans les 10 jours dès la fin de l'empêchement et, dans le même temps, l'acte omis doit être accompli (art. 24 PA par analogie; cf. arrêt du Tribunal administratif fédéral A-1715/2006 du 9 novembre 2007 consid. 2.5). L'omission n'est pas fautive lorsque la personne n'a pas fait preuve de négligence et qu'elle peut se prévaloir de motifs objectifs, c'est-à-dire dont elle n'avait pas la maîtrise. Tel est par exemple le cas lors d'une maladie soudaine et grave au point qu'elle l'a empêchée d'agir dans le délai et de se faire représenter (cf. ATF 119 II 86 consid. 2a, 114 II 181 consid. 2, 112 V 255 consid. 2a; arrêt du Tribunal administratif fédéral A-1715/2006 du 9 novembre 2007 consid. 2.5). Il n'en va pas de même par exemple de la méconnaissance des dispositions légales, du surcroît de travail, d'absence pour cause de vacances ou de problèmes organisationnels (cf. arrêt du Tribunal administratif fédéral A-1715/2006 du 9 novembre 2007 consid. 2.5; décision de la Commission fédérale de recours en matière de contributions du 14 juillet 2003 in JAAC 68.23 consid. 3b/bb). En l'occurrence, à supposer que la recourante sollicite une restitution de délai, ce qui ne saurait être admis sans autre, et que cette requête intervienne dans les 10 jours dès la fin de l'empêchement, ce qui n'est guère évident dans le cas présent, cette demande devrait de toute manière être rejetée vu les motifs avancés. En effet, la bonne volonté de la recourante ainsi que les problèmes organisationnels qu'elle a pu traverser ne sont pas relevants au sens de la jurisprudence précitée.Par conséquent, le régime du perfectionnement actif au sens de l'art. 59 LD ne peut être admis, la recourante n'ayant pas remis le décompte final dans le délai légal, calculé en fonction du délai d'exportation fixé par l'autorisation n° [...] permettant l'importation du tabac homogénéisé dans le cadre du trafic de perfectionnement en système de suspension, ni d'ailleurs dans le délai supplémentaire de dix jours octroyé par l'autorité douanière .</w:t>
      </w:r>
    </w:p>
    <w:p>
      <w:r>
        <w:rPr>
          <w:b/>
        </w:rPr>
        <w:t>E. 4.2</w:t>
      </w:r>
    </w:p>
    <w:p>
      <w:r>
        <w:t>Il s'agit encore d'examiner si le fait de refuser l'application du régime du perfectionnement actif, pour la seule raison que le décompte a été remis hors délai, est constitutif de formalisme excessif, dont la proscription constitue l'un des corollaires du principe de l'interdiction du déni de justice dégagé par la jurisprudence de l'art. 29 al. 1 Cst.</w:t>
      </w:r>
    </w:p>
    <w:p>
      <w:r>
        <w:rPr>
          <w:b/>
        </w:rPr>
        <w:t>E. 4.2.1</w:t>
      </w:r>
    </w:p>
    <w:p>
      <w:r>
        <w:t>Le formalisme est réputé excessif lorsque, pour une procédure, des règles de forme rigoureuses sont prévues sans que cette rigueur ne soit matériellement justifiée. Le Tribunal fédéral a cependant toujours déclaré que les formes procédurales sont nécessaires dans la mise en oeuvre des voies de droit, pour assurer le déroulement de la procédure conformément au principe de l'égalité de traitement, ainsi que pour garantir l'application du droit matériel. Partant, il n'y a formalisme excessif que lorsque la stricte application des règles de procédure ne se justifie par aucun intérêt digne de protection, devient une fin en soi, complique sans raison objective la réalisation du droit matériel ou entrave de manière inadmissible l'accès aux tribunaux (ATF 135 I 6 consid. 2.1, 132 I 249 consid. 5, 130 V 177 consid. 5.4.1 et 128 II 139 consid. 2a; arrêts du Tribunal administratif fédéral A-5616/2008 du 17 décembre 2009 consid. 6.1, A-4355/2007 du 20 novembre 2009 consid. 4.3, A-1762/2006 du 10 mars 2008 consid. 10; Moser/Beusch/Kneubühler, op. cit., note marg. 3.115; PIERRE MOOR, Droit administratif, vol. II, Berne 2002, p. 230 ss).</w:t>
      </w:r>
    </w:p>
    <w:p>
      <w:r>
        <w:rPr>
          <w:b/>
        </w:rPr>
        <w:t>E. 4.2.2</w:t>
      </w:r>
    </w:p>
    <w:p>
      <w:r>
        <w:t>En l'occurrence, les règles de forme - à savoir le respect du délai de décompte de soixante jours - sont fixées dans la loi elle-même (art. 59 al. 4 LD) qui lie le Tribunal de céans, en vertu de l'art. 190 Cst. Dès lors, la recourante n'est guère fondée à se plaindre de formalisme excessif. Par ailleurs, les autorités douanières n'ont fait qu'appliquer les règles douanières existantes. On ne discerne, dans cette façon de faire, aucun formalisme excessif. En considération du haut degré de diligence requis concernant les devoirs légaux de collaboration et du principe de l'auto-déclaration notamment (cf. consid. 2.4. ci-avant), le respect des règles de forme revêt en effet une importance toute particulière dans un domaine aussi technique et formaliste que le droit douanier (cf. à ce sujet, arrêts du Tribunal administratif fédéral A-4480/2010 du 30 novembre 2011 consid. 5.1.3., A-8359/2008 du 15 décembre 2010 consid. 8, confirmé par l'arrêt du Tribunal fédéral 2C_99/2011 du 6 octobre 2011, A-5616/2008 du 17 décembre 2009 consid. 6.2, A-1724/2006 du 2 avril 2007 consid. 9.2).Au demeurant, il convient encore de relever qu'en matière d'admission temporaire (art. 9 LD), le Conseil fédéral peut également limiter ce régime à une durée déterminée ou le soumettre à une autorisation (cf. sous l'ancien droit, à savoir en matière d'acquit-à-caution [art. 41 al. 2 aLD], la décision de la CRD 2001-007 du 14 août 2001 consid. 4a). En conclusion, la recourante n'étant pas intervenue à temps, elle ne peut reprocher aux autorités douanières de faire preuve de formalisme excessif, mais il lui revient d'assumer les conséquences de son inaction.</w:t>
      </w:r>
    </w:p>
    <w:p>
      <w:r>
        <w:rPr>
          <w:b/>
        </w:rPr>
        <w:t>E. 4.3</w:t>
      </w:r>
    </w:p>
    <w:p>
      <w:r>
        <w:t>La recourante avance vainement qu'il en aurait été différemment si elle avait présenté le décompte attendu dans le délai de soixante jours (cf. réplique du 7 janvier 2011, p. 1 ch. 2), cette hypothèse n'étant pas réalisée. La durée du retard est par ailleurs irrelevante.</w:t>
      </w:r>
    </w:p>
    <w:p>
      <w:r>
        <w:rPr>
          <w:b/>
        </w:rPr>
        <w:t>E. 4.4</w:t>
      </w:r>
    </w:p>
    <w:p>
      <w:r>
        <w:t>Finalement, même si elle ne s'en prévaut pas, il convient de se demander si la recourante pourrait éventuellement invoquer une inégalité de traitement au regard d'un autre dossier la concernant également (cf. cause référencée A-1338/2011 encore pendante auprès du Tribunal de céans), dans lequel l'autorité douanière lui avait accordé un délai supplémentaire afin de compléter le décompte final et où elle est entrée en matière sur les documents remis dans le nouveau délai, même si elle leur a finalement dénié force probante dans le contexte de l'art. 59 al. 4 LD.</w:t>
      </w:r>
    </w:p>
    <w:p>
      <w:r>
        <w:rPr>
          <w:b/>
        </w:rPr>
        <w:t>E. 4.4.1</w:t>
      </w:r>
    </w:p>
    <w:p>
      <w:r>
        <w:t>Le principe de l'égalité de traitement, consacré par l'art. 8 al. 1 Cst., interdit de traiter différemment deux situations ne présentant pas entre elles des différences suffisamment significatives pour justifier un traitement inégal. Une décision viole ainsi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131 V 107 consid. 3.4.2 et les références citées, 129 I 113 consid. 5.1; arrêt du Tribunal fédéral 2A.568/2006 du 30 janvier 2007 consid. 6.1; cf. également arrêt du Tribunal administratif A-7519/2006 du 14 février 2008 consid. 7.2.1).</w:t>
      </w:r>
    </w:p>
    <w:p>
      <w:r>
        <w:rPr>
          <w:b/>
        </w:rPr>
        <w:t>E. 4.4.2</w:t>
      </w:r>
    </w:p>
    <w:p>
      <w:r>
        <w:t>Néanmoins, selon la jurisprudence, le principe de la légalité de l'activité administrative (cf. art. 5 al. 1 Cst.) prévaut sur celui de l'égalité de traitement (cf. ATF 126 V 390 consid. 6a).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ainsi prétendre à l'égalité dans l'illégalité que s'il y a lieu de prévoir que l'administration persévérera dans l'inobservation de la loi (cf. ATF 132 II 485 consid. 8.6, 127 II 113 consid. 9; arrêts du Tribunal fédéral 2A.647/2005 du 7 juin 2007 consid. 4.1 et 2A.568/2006 du 30 janvier 2007 consid. 6.1 et les références citées; cf. également arrêts du Tribunal administratif fédéral A-5616/2008 du 17 décembre 2009 consid. 7, A-6048/2008 du 10 décembre 2009 consid. 7.1.1, A-7519/2006 du 14 février 2008 consid. 7.2.1, A-1383/2006 du 19 juillet 2007 consid. 3.4.5 et A-1724/2006 du 2 avril 2007 consid. 9.3).</w:t>
      </w:r>
    </w:p>
    <w:p>
      <w:r>
        <w:rPr>
          <w:b/>
        </w:rPr>
        <w:t>E. 4.4.3</w:t>
      </w:r>
    </w:p>
    <w:p>
      <w:r>
        <w:t>En l'occurrence, dans le dossier A-1338/2011, la DGD a certes fait preuve de souplesse envers la recourante en lui accordant un délai supplémentaire. Néanmoins, les conditions posées en matière d'égalité de traitement dans l'illégalité ne sont pas réalisées. La jurisprudence rendue en la matière fait plutôt état d'une stricte application de la loi par les autorités douanières.</w:t>
      </w:r>
    </w:p>
    <w:p>
      <w:r>
        <w:rPr>
          <w:b/>
        </w:rPr>
        <w:t>E. 5</w:t>
      </w:r>
    </w:p>
    <w:p>
      <w:r>
        <w:t>Il s'ensuit que c'est à juste titre que l'autorité inférieure a procédé à la perception subséquente des redevances d'entrée grevant les importations de tabac intervenues à l'époque en suspension de taxe, du 24 avril 2008 au 20 mars 2009. S'agissant finalement du montant des redevances d'entrée (Fr. 172'354.-), la recourante ne formule aucune critique à ce sujet et le Tribunal de céans ne voit nulle raison de le remettre en question, en référence également à ce qui a déjà été relevé s'agissant du droit d'être entendu (cf. consid. 2.2.2 ci-avant) de sorte qu'il peut être confirmé.</w:t>
      </w:r>
    </w:p>
    <w:p>
      <w:r>
        <w:rPr>
          <w:b/>
        </w:rPr>
        <w:t>E. 6</w:t>
      </w:r>
    </w:p>
    <w:p>
      <w:r>
        <w:t>Les considérations qui précèdent conduisent le Tribunal administratif fédéral à rejeter le recours. Vu l'issue de la cause, en application de l'art. 63 al. 1 PA et de l'art. 1 ss du règlement du 21 février 2008 concernant les frais, dépens et indemnités fixés par le Tribunal administratif fédéral (FITAF, RS 173.320.2), les frais de procédure, par Fr. 5'000.-, comprenant l'émolument judiciaire et les débours, sont mis à la charge de la recourante qui succombe. L'autorité de recours impute, dans le dispositif, l'avance sur les frais de procédure correspondants. Une indemnité à titre de dépens n'est pas allouée à la recourante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