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A-6990/2014 vom 5. März 2015</w:t>
      </w:r>
    </w:p>
    <w:p>
      <w:r>
        <w:t>Bundesverwaltungsgericht, 2015-03-05, DE</w:t>
      </w:r>
    </w:p>
    <w:p>
      <w:r>
        <w:rPr>
          <w:b/>
        </w:rPr>
        <w:t xml:space="preserve">Quelle: </w:t>
      </w:r>
      <w:r>
        <w:t>https://mcp.opencaselaw.ch/entscheid/bvger_A-6990_2014</w:t>
      </w:r>
    </w:p>
    <w:p>
      <w:r>
        <w:t>FR: TAF A-6990/2014 du 5 mars 2015</w:t>
      </w:r>
    </w:p>
    <w:p>
      <w:r>
        <w:t>IT: TAF A-6990/2014 del 5 marzo 2015</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(André Moser/Michael Beusch/Lorenz Kneubühler, Prozessieren vor dem Bundesverwaltungsgericht, 2. Aufl., 2013, Fn. 98 zu Rz. 1.34) und ist daher eine Vorinstanz des Bundesver­waltungsgerichts. Eine Ausnahme, was das Sachgebiet angeht, ist nicht gegeben (vgl. Art. 32 Abs. 1 Bst. c VGG). Das Bundes­verwaltungsgericht ist deshalb für die Beurteilung der vorliegenden Beschwerde zuständig (vgl. auch Art. 62 Abs. 2 PVO-ETH).</w:t>
      </w:r>
    </w:p>
    <w:p>
      <w:r>
        <w:rPr>
          <w:b/>
        </w:rPr>
        <w:t>E. 1.2</w:t>
      </w:r>
    </w:p>
    <w:p>
      <w:r>
        <w:t>Die erstinstanzliche Verfügung vom 7. Februar 2014 ist durch den Beschwerdeentscheid der Vorinstanz vom 30. Oktober 2014 ersetzt worden (Devolutiveffekt). Soweit sich die Beschwerde gegen die Verfü­gung der Eidgenössischen Forschungsanstalt WSL vom 7. Februar 2014 richtet, ist das Bundesverwaltungsgericht demnach nicht zuständig, weshalb darauf insoweit nicht einzutreten ist. Immerhin gilt die erst­instanzliche Verfügung als inhaltlich mitangefochten (BGE 134 II 142 E. 1.4, BGE 129 II 438 E. 1 mit Hinweisen; Urteile des Bundes­verwaltungsgerichts A 6543/2012 vom 22. April 2013 E. 1.2, A 5076/2012 vom 11. Februar 2013 E. 1.2 und A 3434/2011 vom 30. Januar 2012 E. 1.1).</w:t>
      </w:r>
    </w:p>
    <w:p>
      <w:r>
        <w:rPr>
          <w:b/>
        </w:rPr>
        <w:t>E. 1.3</w:t>
      </w:r>
    </w:p>
    <w:p>
      <w:r>
        <w:t>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1.4</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formelle Adressatin des angefochtenen Beschwerdeentscheids und durch diesen auch materiell beschwert. Sie ist deshalb zur Erhebung der vorliegenden Beschwerde legitimiert.</w:t>
      </w:r>
    </w:p>
    <w:p>
      <w:r>
        <w:rPr>
          <w:b/>
        </w:rPr>
        <w:t>E. 1.5</w:t>
      </w:r>
    </w:p>
    <w:p>
      <w:r>
        <w:t>Auf die frist- und formgerecht eingereichte Beschwerde (Art. 50 Abs. 1 und Art. 52 Abs. 1 VwVG) ist daher mit der in Erwägung 1.2 erwähnten Einschränkung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Im Personalrecht auferlegt sich das Bundesverwaltungsgericht bei der Prüfung der Angemessenheit allerdings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Bundesverwaltungsgerichts A 5859/2012 vom 15. Mai 2013 E. 2, A 134/2012 vom 13. Juli 2012 E. 2, A-734/2011 vom 11. Juli 2011 E. 5.1, A-8233/2010 vom 27. Dezember 2011 E. 2, A-438/2009 vom 1. März 2011 E. 19.7 sowie A-2424/2007 vom 4. April 2008 E. 4.4; Moser/ Beusch/Kneubühler, a.a.O., Rz. 2.160, Häfelin/Müller/Uhlmann, All­gemeines Verwaltungsrecht, 6. Aufl., 2010, Rz. 446c f.).</w:t>
      </w:r>
    </w:p>
    <w:p>
      <w:r>
        <w:rPr>
          <w:b/>
        </w:rPr>
        <w:t>E. 3.1</w:t>
      </w:r>
    </w:p>
    <w:p>
      <w:r>
        <w:t>Gemäss einem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Urteile des Bundesverwaltungsgerichts A-5381/2013 vom 8. Mai 2014 E. 3.1 und A-5333/2013 vom 19. Dezember 2013 E. 3). Vorliegend ist umstritten, ob das Arbeitsverhältnis der Beschwerdeführerin durch Zeitablauf per 31. Dezember 2012 beendet worden ist. Es sind entspre­chend die personalrechtlichen Bestimmungen in derjenigen Fassung anzuwenden, wie sie bis zum 30. Juni 2013 in Kraft standen. Danach durften Arbeitgeber und Arbeitnehmer das Arbeitsverhältnis auf grundsätzlich längstens fünf Jahre befristen (aArt 9 Abs. 2 BPG, AS 2001 894). Die dazugehörigen Ausführungsbestimmungen der ETH sahen vor, dass befristete Arbeitsverhältnisse u.a. für wissenschaftliche Mitarbei­terinnen und Mitarbeiter, die in der Lehre und in Forschungsprojekten eingesetzt werden, sowie für Mitarbeitende, die für befristete Infrastruktur­aufgaben eingesetzt werden, gelten (aArt. 19 Abs. 2 Bst. d und e PVO-ETH, AS 2001 1789). Befristete Arbeitsverhältnisse durften nicht zur Umgehung des Kündigungsschutzes nach aArt. 14 BPG abgeschlossen werden (aArt. 19 Abs. 3 PVO-ETH).</w:t>
      </w:r>
    </w:p>
    <w:p>
      <w:r>
        <w:rPr>
          <w:b/>
        </w:rPr>
        <w:t>E. 3.2</w:t>
      </w:r>
    </w:p>
    <w:p>
      <w:r>
        <w:t>Wie im privaten Arbeitsrecht (Art. 334 Abs. 1 des Obligationenrechts vom 30. März 1911 [OR, SR 220]) endigt das befristete Arbeitsverhältnis nach aArt. 10 Abs. 2 Bst. c BPG ipso jure durch blossen Zeitablauf und ohne dass eine Kündigung bzw. eine Verfügung nötig ist (vgl. Urteil des Bundesverwaltungsgerichts A-3434/2011 vom 30. Januar 2012 E. 5.2; Peter Hänni, Beendigung öffentlicher Dienstverhältnisse, in: Stellen­wechsel und Entlassung, 2. Auflage, 2012, Rz. 8.22 mit Hinweis; Rémy Wyler/Boris Heinzer, Droit du travail, 3. Auflage, 2014, S. 497). Soll das Arbeitsverhältnis trotz Zeitablauf fortgesetzt werden, muss ein neuer Arbeitsvertrag abgeschlossen oder die vereinbarte Befristung geändert werden (Harry Nötzli, in: Portmann/Uhlmann [Hrsg.], Stämpflis Hand­kommentar zum BPG, 2013, Art. 11, N. 4).</w:t>
      </w:r>
    </w:p>
    <w:p>
      <w:r>
        <w:rPr>
          <w:b/>
        </w:rPr>
        <w:t>E. 3.3</w:t>
      </w:r>
    </w:p>
    <w:p>
      <w:r>
        <w:t>Rechtsprechung und Lehre bezeichnen die Aneinanderreihung meh­rerer befristeter Arbeitsverhältnisse gleichen Inhalts als Kettenarbeitsver­träge. Sofern die Grenze des Rechtsmissbrauchs nicht überschritten wird, gelten diese auch im Rahmen öffentlich-rechtlicher Anstellungsverhält­nisse als zulässig. Von einem rechtsmissbräuchlichen Verhalten ist dann auszugehen, wenn für den Abschluss mehrerer aufeinanderfolgender Verträge kein sachlicher Grund besteht und bei denen die ungewöhnliche Vertragsgestaltung bezweckt, die Anwendung der Bestimmungen über den Kündigungsschutz zu umgehen oder das Entstehen von Rechts­ansprüchen, die von einer Mindestdauer des Arbeitsverhältnisses abhängen, zu verhindern (vgl. BGE 129 III 618 E. 6.2 mit Hinweisen; Urteile des Bundesgerichts 1C_100/2007 vom 26. März 2008 E. 3.3.2 und 2P.26/2007 vom 28. Juni 2007 E. 3.6; Urteil des Bundesverwaltungs­gerichts A-3434/2011 vom 30. Januar 2012 E. 5.3; Urteil des Verwal­tungsgerichts des Kantons Bern vom 21. Mai 2008, in: Bernische Verwaltungsrechtsprechung [BVR] 2008 529 ff. E. 6.2-6.4; vgl. Peter Hänni, Das öffentliche Dienstrecht der Schweiz, 2008, S. 74 ff.; Matthias Michel, Beamtenstatus im Wandel, 1998, S. 275).</w:t>
      </w:r>
    </w:p>
    <w:p>
      <w:r>
        <w:rPr>
          <w:b/>
        </w:rPr>
        <w:t>E. 3.4</w:t>
      </w:r>
    </w:p>
    <w:p>
      <w:r>
        <w:t>Das Arbeitsverhältnis der Beschwerdeführerin wurde durch vier aufeinanderfolgende Arbeitsverträge geregelt. Die mehrmalige Befristung der Anstellung wurde damit begründet, dass die Stelle der Beschwerde­führerin bis am 31. Oktober 2012 projektgebunden war und vollständig über Drittmittel finanziert wurde. In den ersten drei Verträgen wurde ausdrücklich darauf hingewiesen, dass eine Verlängerung des Arbeits­verhältnisses längstens bis zum Projektende oder der maximalen Befristungsdauer erfolgen könne. Damit war den Vertragsparteien bereits bei Vertragsschluss die Dauer ihrer arbeitsvertraglichen Bindung klar und sie waren entsprechend in der Lage, rechtzeitig die für die Zeit danach erforderlichen Massnahmen zu treffen (z.B. Stellensuche, Budgetierung) (vgl. Peter Helbling, in: Portmann/Uhlmann [Hrsg.], Stämpflis Handkom­mentar zum BPG, 2013, Art. 9, N. 32; Wyler/Heinzer, a.a.O., S. 495). Die Beschwerdegegnerin orientierte die Beschwerdeführerin im Mai 2012 bzw. nach deren Darstellung am 5. Juni 2012 darüber, dass das Arbeits­verhältnis am 31. Oktober 2012 definitiv enden werde und eine weitere Verlängerung mangels Aufträgen und Drittmitteln ausgeschlossen sei. Bei dieser Ausgangslage ist ein sachlicher Grund für den Abschluss von drei einjährigen, aufeinanderfolgenden Verträgen zu bejahen. Wenn die Beschwerdegegnerin schliesslich der Beschwerdeführerin aus Entgegen­kommen noch einen vierten, auf zwei Monate, d.h. für die Zeit vom 1. November bis 31. Dezember 2012, befristeten Arbeitsvertrag offerierte, so vermag dies an der erwähnten Beurteilung nichts zu ändern. Dieser Vertrag ersetzte das bisherige Arbeitsverhältnis und sah weder eine Verlängerungsmöglichkeit vor noch stellte er eine solche in Aussicht. Es handelte sich beim letzten Vertrag nicht um eine weitere Ausdehnung bisheriger Vertragsverhältnisse, sondern um einen Vertrag mit anderen Aufgaben. Die Beschwerdeführerin unterzeichnete ihn vorbehaltlos und stellte dessen Gültigkeit nie infrage. Im Übrigen wurde auch mit diesem vierten Vertrag die gemäss aArt. 9 Abs. 2 BPG für ohne Unterbruch aneinander gereihte befristete Arbeitsverhältnisse maximal zulässige Vertragsdauer von fünf Jahren nicht erreicht.</w:t>
      </w:r>
    </w:p>
    <w:p>
      <w:r>
        <w:rPr>
          <w:b/>
        </w:rPr>
        <w:t>E. 3.5</w:t>
      </w:r>
    </w:p>
    <w:p>
      <w:r>
        <w:t>Wenn die Beschwerdeführerin sinngemäss geltend macht, es liege eine unbefristete Anstellung vor, weil sie nicht vertragsgemäss eingesetzt worden sei, vermag sie damit nicht durchzudringen. Die Vorinstanz hält in ihrem Beschwerdeentscheid nämlich zutreffend fest, für eine korrekte Vertragserfüllung sei entscheidend, dass die Beschwerdeführerin durch­wegs als Programmiererin gearbeitet habe, weil sie einen Anspruch darauf gehabt habe, in der Funktion beschäftigt zu werden, in der sie angestellt gewesen sei. Hingegen liege es im Weisungsrecht der Arbeit­geberin, die Beschwerdeführerin auch für andere Projekte einzusetzen als im Vertrag festgehalten, zumal Vertragsänderungen laut den vier Verträgen, welche die Parteien abgeschlossen hätten, jederzeit möglich gewesen seien, sofern sie betrieblich erforderlich und zumutbar waren, was vorliegend der Fall gewesen sei. Ebenso wenig ist der Schluss der Vorinstanz zu beanstanden, die Tätigkeit der Beschwerdeführerin als Informatikerin sei eine (befristete) Infrastrukturaufgabe gewesen, da Projekte von der vorliegenden Art ohne Programmierung nicht durch­führbar seien. Wie die Beschwerdegegnerin in der Beschwerdeantwort richtigerweise festhält, hat die Beschwerdeführerin in der E-Mail vom 23. Juni 2013 ihre Tätigkeit selber dahin umschrieben, sie habe projekt­bezogen als Software-Programmiererin für verschiedene Forschungs­projekte gearbeitet. Mit einer Subsumption des Arbeitsverhältnisses der Beschwerdeführerin unter aArt. 19 Abs. 2 Bst. e PVO-ETH hat die Vorinstanz somit kein Bundesrecht verletzt. Abgesehen davon würden die Aufgaben jenseits von strikten Infrastrukturaufgaben, wie sie die Beschwerdeführerin verstanden haben will, wissenschaftliche Tätigkeiten im Sinne von aArt. 19 Abs. 2 Bst. d PVO-ETH darstellen, für die ebenfalls eine Befristung des Arbeitsverhältnisses vorgesehen ist.</w:t>
      </w:r>
    </w:p>
    <w:p>
      <w:r>
        <w:rPr>
          <w:b/>
        </w:rPr>
        <w:t>E. 3.6</w:t>
      </w:r>
    </w:p>
    <w:p>
      <w:r>
        <w:t>Die Beschwerde erweist sich bei diesem Ergebnis als unbegründet und ist abzuweisen, soweit darauf einzutreten ist.</w:t>
      </w:r>
    </w:p>
    <w:p>
      <w:r>
        <w:rPr>
          <w:b/>
        </w:rPr>
        <w:t>E. 4.1</w:t>
      </w:r>
    </w:p>
    <w:p>
      <w:r>
        <w:t>Gemäss Art. 34 Abs. 2 BPG ist das Verfahren vor dem Bundes­verwaltungsgericht in personalrechtlichen Angelegenheiten unabhängig vom Verfahrensausgang grundsätzlich kostenlos. Vorliegend sind daher keine Kosten zu erheben.</w:t>
      </w:r>
    </w:p>
    <w:p>
      <w:r>
        <w:rPr>
          <w:b/>
        </w:rPr>
        <w:t>E. 4.2</w:t>
      </w:r>
    </w:p>
    <w:p>
      <w:r>
        <w:t>Der durch interne Organe vertretenen, obsiegenden Beschwerde­gegnerin sind für das Verfahren vor dem Bundesverwaltungsgericht keine notwendigen und verhältnismässig hohen Kosten im Sinne von Art. 64 Abs. 1 VwVG i.V.m. Art. 7 Abs. 1 des Reglements vom 21. Februar 2008 über die Kosten und Entschädigungen vor dem Bundesverwaltungs­gericht (VGKE, SR 173.320.2) erwachsen, weshalb weder ihr noch der unterliegenden Beschwerdeführerin 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