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A-6971/2008 vom 8. Juni 2009</w:t>
      </w:r>
    </w:p>
    <w:p>
      <w:r>
        <w:t>Bundesverwaltungsgericht, 2009-06-08, DE</w:t>
      </w:r>
    </w:p>
    <w:p>
      <w:r>
        <w:rPr>
          <w:b/>
        </w:rPr>
        <w:t xml:space="preserve">Quelle: </w:t>
      </w:r>
      <w:r>
        <w:t>https://mcp.opencaselaw.ch/entscheid/bvger_A-6971_2008</w:t>
      </w:r>
    </w:p>
    <w:p>
      <w:r>
        <w:t>FR: TAF A-6971/2008 du 8 juin 2009</w:t>
      </w:r>
    </w:p>
    <w:p>
      <w:r>
        <w:t>IT: TAF A-6971/2008 del 8 giugno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somit einzutreten.</w:t>
      </w:r>
    </w:p>
    <w:p>
      <w:r>
        <w:rPr>
          <w:b/>
        </w:rPr>
        <w:t>E. 1.2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 ff.). Im Beschwerdeverfahren gilt die Untersuchungsmaxime, wonach der Sachverhalt von Amtes wegen festzustellen ist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 statt vieler: Urteil des Bundesverwaltungsgerichts A-1738/2006 vom 20. Januar 2009 E. 1.3).</w:t>
      </w:r>
    </w:p>
    <w:p>
      <w:r>
        <w:rPr>
          <w:b/>
        </w:rPr>
        <w:t>E. 2.1.1</w:t>
      </w:r>
    </w:p>
    <w:p>
      <w:r>
        <w:t>Der Mehrwertsteuer unterliegen u.a. im Inland gegen Entgelt erbrachte Lieferungen von Gegenständen sowie im Inland gegen Entgelt erbrachte Dienstleistungen (Art. 5 Bst. a und b MWSTG). Eine Lieferung liegt vor, wenn die Befähigung verschafft wird, im eigenen Namen über einen Gegenstand wirtschaftlich zu verfügen. Eine solche ist ebenfalls gegeben, wenn der Gegenstand zum Gebrauch oder zur Nutzung überlassen wird (Art. 6 Abs. 1 und 2 Bst. b MWSTG). Als Dienstleistung gilt jede Leistung, die keine Lieferung eines Gegenstandes ist (Art. 7 Abs. 1 MWSTG; Urteile des Bundesverwaltungsgerichts A-1536/2006 und A-1537/2006 vom 16. Juni 2008 E. 2.2, A-1538/2006 vom 28. Mai 2008 E. 2.1 mit weiteren Hinweisen).</w:t>
      </w:r>
    </w:p>
    <w:p>
      <w:r>
        <w:rPr>
          <w:b/>
        </w:rPr>
        <w:t>E. 2.1.2</w:t>
      </w:r>
    </w:p>
    <w:p>
      <w:r>
        <w:t>Die reine Flugzeugmiete, bei der das Flugzeug ohne Besatzung zum entgeltlichen Gebrauch dem Charterer überlassen wird, stellt zivilrechtlich einen Mietvertrag dar. Beschafft sich eine Fluggesellschaft auf diese Weise ein Flugzeug, so erbringt nicht der Eigentümer oder der Halter des Flugzeugs die Beförderungsleistung gegenüber dem Fluggast, sondern der Mieter. Demgegenüber stellt beim sogenannten "Mietcharter" der Eigentümer oder Halter des Flugzeugs dem Charterer nicht nur das Flugzeug, sondern auch die Besatzung zur Verfügung. Bei der Flugzeugmiete und beim "Mietcharter" geht die Verfügungsgewalt und auch die operationelle Verantwortung für die Flüge auf den Charterer über (Urteil des Bundesgerichts vom 23. Januar 2001, veröffentlicht in Archiv für Schweizerisches Abgaberecht [ASA] 71 S. 568; Entscheide der Eidgenössischen Steuerrekurskommission [SRK] vom 11. November 2004 [SRK 2003-089] E. 3a, vom 26. Oktober 2004 [2002-113] E. 4a). Sowohl die Flugzeugmiete als auch der "Mietcharter" sind mehrwertsteuerrechtlich als Lieferungen zu qualifizieren (Art. 6 Abs. 2 Bst. b MWSTG) und der Leistungsort richtet sich danach, wo sich das Flugzeug zum Zeitpunkt der Überlassung an den Dritten befand (Art. 13 Bst. a MWSTG; Urteil des Bundesverwaltungsgerichts A-1667/2006 vom 23. Juni 2008 E. 3.3 mit Hinweisen).</w:t>
      </w:r>
    </w:p>
    <w:p>
      <w:r>
        <w:rPr>
          <w:b/>
        </w:rPr>
        <w:t>E. 2.2.1</w:t>
      </w:r>
    </w:p>
    <w:p>
      <w:r>
        <w:t>Verwendet der Steuerpflichtige Gegenstände oder Dienstleistungen für steuerbare Ausgangsleistungen, so kann er in seiner Steuerabrechnung die auf seinen Eingangsleistungen lastende Steuer als Vorsteuer abziehen (Art. 38 Abs. 1 und 2 MWSTG).</w:t>
      </w:r>
    </w:p>
    <w:p>
      <w:r>
        <w:rPr>
          <w:b/>
        </w:rPr>
        <w:t>E. 2.2.2</w:t>
      </w:r>
    </w:p>
    <w:p>
      <w:r>
        <w:t>Der Bundesrat ist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(Art. 90 Abs. 2 Bst. b MWSTG). Er hat die kumulativen Voraussetzungen für eine solche Steuervergütung in Art. 28 ff. MWSTGV geregelt (Urteil des Bundesgerichts 2C_410/2008 vom 28. Oktober 2008 E. 3.1). Danach ist anspruchsberechtigt auf Steuervergütung, wer Gegenstände einführt oder sich im Inland Leistungen der in Art. 6 und 7 MWSTG genannten Arten gegen Entgelt erbringen lässt und zudem: a) Wohn- oder Geschäftssitz im Ausland hat, wobei der Ort, an welchem eine Betriebsstätte geführt wird, einem Geschäftssitz gleichgestellt ist; b) im Inland keine Gegenstände liefert oder grundsätzlich im Inland keine Dienstleistungen erbringt; c) im Land seines Wohn- oder Geschäftssitzes seine Unternehmereigenschaft nachweist (Art. 28 Abs. 1 MWSTGV). Die bezahlte Steuer wird vergütet, sofern die bezogenen Leistungen der Erzielung von Umsätzen dienen, die in der Schweiz von Gesetzes wegen der Mehrwertsteuer unterliegen würden oder für welche eine Steuerbefreiung nach Art. 19 MWSTG zur Anwendung käme. Dienen die bezogenen Gegenstände und Dienstleistungen sowohl der Erzielung steuerbarer Umsätze als auch anderen Zwecken, so ist die Vergütung nach dem Verhältnis der Verwendung zu kürzen. Für Leistungen, die nicht für einen geschäftlich begründeten Zweck im Sinne des Art. 38 Abs. 2 MWSTG verwendet werden, besteht kein Vergütungsanspruch (Art. 29 Abs. 1-3 MWSTGV; Urteile des Bundesverwaltungsgerichts A-1667/2006 vom 23. Juni 2008 E. 2.4, A-1359/2006 vom 26. Juli 2007 E. 3.3).</w:t>
      </w:r>
    </w:p>
    <w:p>
      <w:r>
        <w:rPr>
          <w:b/>
        </w:rPr>
        <w:t>E. 2.2.2.1</w:t>
      </w:r>
    </w:p>
    <w:p>
      <w:r>
        <w:t>Der verlangte Nachweis der Unternehmereigenschaft gemäss Art. 28 Abs. 1 Bst. c MWSTGV wird häufig durch die MWST-Registrierung im Ausland erbracht. Es müssen aber auch andere geeignete Formen des Nachweises zugelassen sein. Dies trifft insbesondere auf Unternehmen aus Ländern zu, die keine MWST kennen (Jürg Buchli, mwst.com, Kommentar zum Bundesgesetz über die Mehrwertsteuer, Basel 2000, N. 5 zu Art. 90 Abs. 2 MWSTG). Zur Definition der Unternehmereigenschaft kann auf Art. 21 Abs. 1 MWSTG und die diesbezügliche Rechtsprechung zurückgegriffen werden. Unternehmer ist demnach, wer eine mit der Erzielung von Einnahmen verbundene gewerbliche oder berufliche Tätigkeit selbständig ausübt. Einen minimalen Umsatz im Sinn von Art. 21 Abs. 1 MWSTG setzt Art. 28 Abs. 1 Bst. c MWSTGV hingegen nicht voraus. Beim Kriterium der selbständigen Ausübung einer (beruflichen oder gewerblichen) Tätigkeit geht es einerseits darum, die Unternehmereigenschaft derjenigen Personen auszuschliessen, welche in einem Anstellungsverhältnis bzw. allenfalls in einem vergleichbaren Abhängigkeitsverhältnis zu einem Unternehmer stehen. Andererseits kann aber generell nur derjenige als selbständig im Sinn des Umsatzsteuerrechts gelten, der nach aussen, insbesondere gegenüber den Personen, denen er Leistungen erbringt, im eigenen Namen auftritt. Wer nach aussen in fremdem Namen auftritt, ist als unselbständig zu betrachten (PETER SPINNLER, Die subjektive Steuerpflicht im neuen schweizerischen Mehrwertsteuerrecht, in ASA 63 S. 402; Entscheid der SRK vom 3. Februar 2000 [SRK 1999-072] E. 3a, bestätigt durch das Urteil des Bundesgerichts vom 21. Juni 2000, veröffentlicht in ASA 70 S. 92 ff.). Wie ein Wirtschaftssubjekt nach aussen auftritt, ist somit entscheidend für die Zuordnung der Umsätze und damit für die Selbständigkeit (Urteile des Bundesverwaltungsgerichts A-1474/2006 vom 28. Januar 2008 E. 2.2.2, A-1413/2006 vom 16. November 2007 E. 2.1, A-1520/2006 vom 29. August 2007 E. 2.2.3, A-1383/2006 vom 19. Juli 2007 E. 2.2 mit weiteren Hinweisen).</w:t>
      </w:r>
    </w:p>
    <w:p>
      <w:r>
        <w:rPr>
          <w:b/>
        </w:rPr>
        <w:t>E. 2.2.2.2</w:t>
      </w:r>
    </w:p>
    <w:p>
      <w:r>
        <w:t>Als im Sinn von Art. 38 Abs. 2 MWSTG verwendet hat eine Eingangsleistung dann zu gelten, wenn sie in steuerbare Ausgangsleistungen einfliesst, d.h. für einen geschäftlich begründeten Zweck eingesetzt wird. Trifft dies nicht zu, liegt mit Bezug auf diese Eingangsleistung Endverbrauch beim Steuerpflichtigen vor (vgl. BGE 132 II 353 E. 10, ferner E. 8.2; DANIEL RIEDO, Vom Wesen der Mehrwertsteuer als allgemeine Verbrauchsteuer und von den entsprechenden Wirkungen auf das schweizerische Recht, Bern 1999, S. 141 f.). Denn Endverbrauch ist nicht zwingend privat. Auch steuerpflichtige Unternehmen können ein Nebeneinander von unternehmerischer und nichtunternehmerischer Betätigung aufweisen (sog. "Verbrauch in der Unternehmenssphäre"; BGE 123 II 295 E. 7a; Urteile des Bundesverwaltungsgerichts A-1630/2006 und A-1631/2006 vom 13. Mai 2008 E. 2.2, insoweit bestätigt durch Urteil des Bundesgerichts 2C_463/2008 vom 27. Januar 2009, A-1373/2006 vom 16. November 2007 E. 2.2). Die Vergütung der schweizerischen Steuer an ausländische Unternehmen bildet gleichsam das Pendant zum Abzug der Vorsteuer (durch inländisch ansässige Unternehmen, vgl. E. 2.2.1), welche auf Inlandleistungen lastet, die im Inland steuerbaren Zwecken dienen ("sog. Vorsteuervergütungsverfahren, das an die Stelle des Vorsteuerabzugs tritt"; Bericht vom 28. August 1996 der Kommission für Wirtschaft und Abgaben des Nationalrats [WAK-N] zur parlamentarischen Initiative [Parlamentarische Initiative Dettling, 93.461 über den Erlass eines Bundesgesetzes über die Mehrwertsteuer, ad Art. 86 Bst. c]; vgl. Urteil des Bundesverwaltungsgerichts A-1667/2006 vom 23. Juni 2008 E. 3.4).</w:t>
      </w:r>
    </w:p>
    <w:p>
      <w:r>
        <w:rPr>
          <w:b/>
        </w:rPr>
        <w:t>E. 3</w:t>
      </w:r>
    </w:p>
    <w:p>
      <w:r>
        <w:t>Eine Steuerumgehung wird nach der bundesgerichtlichen Rechtsprechung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Ob diese Voraussetzungen erfüllt sind, ist aufgrund der konkreten Umstände des Einzelfalls zu prüfen. Wird eine Steuerumgehung bejaht, ist der Besteuerung die Rechtsgestaltung zugrunde zu legen, die sachgemäss gewesen wäre, um den erstrebten wirtschaftlichen Zweck zu erreichen (BGE 131 II 627 E. 5.2; Urteile des Bundesgerichts 2C_77/2008 vom 12. August 2008 E. 2.2, 2A.470/2002 vom 22. Oktober 2003 E. 4.1 u. 5.1, je mit Hinweisen). Diese Rechtsprechung gilt ausdrücklich auch für die Mehrwertsteuer (Urteil des Bundesgerichts vom 7. April 2008, veröffentlicht in ASA 77 S. 354 E. 4.1; vgl. indessen kritisch dazu BÉATRICE BLUM, Steuerumgehung bei der Mehrwertsteuer - Halten eines Flugzeuges in einer "Briefkastengesellschaft", in Michael Beusch/ISIS [Hrsg.], Entwicklungen im Steuerrecht 2009, Zürich 2009, S. 343 ff., sowie HAROLD GRÜNINGER/STEFAN OESTERHELT, Steuerrechtliche Entwicklungen [insbesondere im Jahr 2008], in Schweizerische Zeitschrift für Wirtschafts- und Finanzmarktrecht [SZW] 2009 S. 65 ff.).</w:t>
      </w:r>
    </w:p>
    <w:p>
      <w:r>
        <w:rPr>
          <w:b/>
        </w:rPr>
        <w:t>E. 4.1</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131 V 472 E. 5, Urteil des Bundesgerichts 1C_242/2007 vom 11. Juni 2008 E. 3.3.1; Urteile des Bundesverwaltungsgerichts A-1711/2006 vom 23. Januar 2009 E. 2.8, A-1336/2006 vom 2. Juli 2008 E. 4.4 und A-1419/2006 vom 31. Oktober 2007 E. 7.1; ARTHUR HAEFLIGER, Alle Schweizer sind vor dem Gesetze gleich, Bern 1985, S. 220 f.; HÄFELIN/ MÜLLER/UHLMANN, a.a.O, Rz. 668 ff.; RENÉ A. RHINOW/BEAT KRÄHENMANN, Schweizerische Verwaltungsrechtsprechung, Ergänzungsband, Basel/Frankfurt am Main 1990, S. 227 ff. Nr. 74 und S. 242 Nr. 75 B III/b/2; BEATRICE WEBER-DÜRLER, Vertrauensschutz im Öffentlichen Recht, Basel/Frankfurt am Main 1983, S. 79 ff., 128 ff.).</w:t>
      </w:r>
    </w:p>
    <w:p>
      <w:r>
        <w:rPr>
          <w:b/>
        </w:rPr>
        <w:t>E. 4.2</w:t>
      </w:r>
    </w:p>
    <w:p>
      <w:r>
        <w:t>Im Steuerrecht, das vom Grundsatz der Gesetzmässigkeit der Besteuerung beherrscht wird, ist das Prinzip von Treu und Glauben nach der bundesgerichtlichen Rechtsprechung nur beschränkt anwendbar. Bei unrichtigen Zusicherungen kann eine vom Gesetz abweichende Behandlung eines Steuerpflichtigen nur in Betracht fallen, wenn die erwähnten Bedingungen klar und eindeutig erfüllt sind (BGE 131 II 627 E. 6.1, BGE 118 Ib 312 E. 3b; Urteil des Bundesgerichts vom 3. August 2000, veröffentlicht in ASA 70 S. 771 f. E. 6a; Urteil des Bundesverwaltungsgerichts A-1500/2006 vom 1. Oktober 2008 E. 3.1 mit Hinweisen).</w:t>
      </w:r>
    </w:p>
    <w:p>
      <w:r>
        <w:rPr>
          <w:b/>
        </w:rPr>
        <w:t>E. 5</w:t>
      </w:r>
    </w:p>
    <w:p>
      <w:r>
        <w:t>Im vorliegenden Fall ist die Beschwerdeführerin mit Sitz in Saudi-Arabien Inhaberin der beiden Flugzeuge Bombardier BD-700 (X._______) und Canadair Challanger CL-604 (Y._______) (vgl. amtl. Akten Nr. 6). Für den Betrieb dieser Flugzeuge bezog sie Aircraft Managementleistungen von der B._______AG, Zürich. Im Weiteren hat die Beschwerdeführerin gemäss ihren Angaben ein weiteres Flugzeug (Boeing 727 mit der Registration Z._______) zugemietet, für welches sie ebenfalls Leistungen (Treibstoff und Catering) von der B._______AG bezog. Diese fakturierte der Beschwerdeführerin alle Leistungen inkl. MWST. Für die Jahre 2003 bis 2005 betrug die in Rechnung gestellte MWST insgesamt Fr. 2'585'103.45. Nicht im Streit liegt, dass die B._______AG diesen Betrag der ESTV abgeliefert, die Beschwerdeführerin alle Rechnungen bezahlt hat und gemäss der von der ESTV publizierten Länderliste im Fall von Saudi-Arabien - trotz fehlendem Gegenrecht im Sinn von Art. 90 Abs. 2 Bst. b MWSTG - eine Steuervergütung grundsätzlich möglich ist. Im Weiteren ist unbestritten, dass die Beschwerdeführerin im Inland keine Leistungen erbracht hat. Die ESTV verweigerte der Beschwerdeführerin die Vergütung des erwähnten MWST-Betrages aber dennoch, weil sie weder ihre Unternehmereigenschaft (E. 5.1) noch die Verwendung der bezogenen Leistungen für einen Zweck nachgewiesen habe, der im Inland der Steuer unterliegen würde (E. 5.2). Die von der Beschwerdeführerin behauptete Rechtsgestaltung könne nur mit dem Motiv der Steuerumgehung erklärt werden (E. 5.3). Im Weiteren ist die Bedeutung zweier Schreiben von Bundesrat Merz strittig (E. 5.4) und zudem fraglich, ob ein Anspruch auf Verzinsung einer allfälligen Steuervergütung bestehe (E. 5.5).</w:t>
      </w:r>
    </w:p>
    <w:p>
      <w:r>
        <w:rPr>
          <w:b/>
        </w:rPr>
        <w:t>E. 5.1.1</w:t>
      </w:r>
    </w:p>
    <w:p>
      <w:r>
        <w:t>Als Nachweise für ihre Unternehmereigenschaft im Sinn von Art. 28 Abs. 1 Bst. c MWSTGV reichte die Beschwerdeführerin im Wesentlichen folgende Unterlagen ein: a) Eine Bestätigung des Königreichs Saudi-Arabien, Ministerium für Verteidigung und Luftfahrt, vom 12. Juli 2005, dass die Beschwerdeführerin Inhaberin der Flugzeuge X._______ und Y._______ sei und diese für ihre private Tätigkeit ("for its private operation") verwenden dürfe, einschliesslich bezüglich dieser Flugzeuge: (1) den Ankauf, Besitz und Verkauf, (2) den Handel und mit deren Betrieb verbundene Aktivitäten, (3) den Einkauf von Dienstleistungen im Zusammenhang mit deren Betrieb, (4) "Dry lease" (amtl. Akten Nr. 6). Ebenso führen zwei Zertifikate des Königreichs Saudi-Arabien ("Aircraft Registration Certificate") die Beschwerdeführerin, inkl. Adresse in Riyadh, als Eigentümerin der Flugzeuge X._______ und Y._______ auf (amtl. Akten Nr. 6). b) Halbjährlich erstellte Rechnungen der Beschwerdeführerin für die Jahre 2003-2005, mit denen sie die Vermietung und Vercharterung ihrer Flugzeuge X._______ und Y._______ (voll ausgerüstet und in Saudi-Arabien zur Verfügung gestellt) der C._______ fakturierte. Die Zahlungsmodalität erfolgt gemäss Vermerk auf den Rechnungen im Rahmen ihrer Vereinbarung (Beschwerdebeilage Nr. 10; amtl. Akten Nr. 1). c) Eine Vereinbarung vom 5. Dezember 2001 zwischen der S._______Ltd. und der B._______AG, handelnd für die Beschwerdeführerin ("Aircraft Handover Receipt Agreement"). Die Parteien vereinbarten darin, dass bezüglich des Betriebs der Flugzeuge der Beschwerdeführerin (X._______ und Y._______) der Vertrag mit der S._______Ltd. frühzeitig aufgelöst werde und die B._______AG das Aircraft Management übernehme (Beschwerdebeilage Nr. 8). d) Ein Schreiben des Königreichs Saudi-Arabien vom 1. April 2003 an die B._______AG mit einem Check über USD 4'047'000.-- u.a. für den Betrieb der Flugzeuge X._______ und Y._______ (Beschwerdebeilage Nr. 6). e) Zwei Gutschriftsanzeigen der Credit Suisse vom 26. August 2004 bzw. 25. Oktober 2004, ausweisend zwei Einzahlungen auf das Konto der B._______AG von USD 2'978'266.-- bzw. USD 3'814'390.-- im Auftrag von Q._______ (Beschwerdebeilage Nr. 7).</w:t>
      </w:r>
    </w:p>
    <w:p>
      <w:r>
        <w:rPr>
          <w:b/>
        </w:rPr>
        <w:t>E. 5.1.2</w:t>
      </w:r>
    </w:p>
    <w:p>
      <w:r>
        <w:t>Mit der eingereichten Bestätigung des Ministeriums für Verteidigung und Luftfahrt (E. 5.1.1 a) wies die Beschwerdeführerin nach, dass sie in Saudi-Arabien als juristische Person unter der Firma A._______Ltd. existiert und sie die in ihrem Eigentum befindlichen Flugzeuge (X._______ und Y._______) für ihre private (geschäftliche) Tätigkeit verwenden darf. Die von der Beschwerdeführerin behauptete Geschäftstätigkeit, die Zurverfügungstellung dieser Flugzeuge mit (von dritter Seite bezogenem) Personal an die C._______ war ihr somit erlaubt. Die eingereichten halbjährlichen Rechnungen an die C._______ (E. 5.1.1 b) legen angesichts des Charakters von Rechnungen (vgl. etwa [anstelle vieler] Urteil des Bundesverwaltungsgerichts A-1438/2006 vom 11. Juni 2007 E. 3.2) und zusammen mit den so genannten "Fluglog-Files" die effektive Erbringung dieser Leistungen nahe (vgl. auch E. 5.1.4). Im Weiteren trat die Beschwerdeführerin nicht nur im Verkehr mit den Behörden und gegenüber der C._______ als selbständiges Unternehmen auf, sondern gemäss der Vereinbarung vom 5. Dezember 2001 (E. 5.1.1 c) auch gegenüber der S._______Ltd. sowie der B._______AG. Diese Vereinbarung steht im Übrigen im Einklang mit den von der B._______AG der Beschwerdeführerin in Rechnung gestellten Aircraft Managementleistungen für die Flugzeuge X._______ und Y._______. Die Beschwerdeführerin hat somit den Nachweis erbracht, dass sie in Saudi-Arabien als juristische Person existiert, im Geschäftsverkehr unter eigenem Namen auftritt und in der vorliegend relevanten Zeit (2003-2005) mit ihrer Leistungserbringung an die C._______ eine mit der Erzielung von Einnahmen verbundene gewerbliche Tätigkeit selbständig ausübte. Sie hat damit ihre Unternehmereigenschaft gemäss Art. 28 Abs. 1 Bst. c MWSTGV nachgewiesen (vgl. E. 2.2.2.1).</w:t>
      </w:r>
    </w:p>
    <w:p>
      <w:r>
        <w:rPr>
          <w:b/>
        </w:rPr>
        <w:t>E. 5.1.3</w:t>
      </w:r>
    </w:p>
    <w:p>
      <w:r>
        <w:t>Die ESTV macht dagegen geltend, die Beschwerdeführerin sei als sog. "single purpose company" zu qualifizieren, die einzig zum Zweck des Erwerbs und Haltens von Flugzeugen gegründet worden sei, diese jedoch von Dritten betreiben lasse und vor Ort kein eigenes Personal beschäftige sowie über keine Räumlichkeiten verfüge. Sie sei deshalb keine aktive, sondern eine passive Gesellschaft und die Unternehmereigenschaft sei demnach zu verneinen. Diesem Einwand ist zunächst zu entgegnen, dass eine "single purpose company", d.h. eine Gesellschaft, die nur einen Geschäftszweck verfolgt, sehr wohl die erforderliche Unternehmereigenschaft im Sinn von Art. 28 Abs. 1 Bst. c MWSTGV aufweisen kann. Entscheidend ist, ob der (einzige) Zweck zum Inhalt hat, eine gewerbliche Tätigkeit selbständig auszuüben (E. 2.2.2.1). Wie bereits dargelegt (E. 5.1.2), hat die Beschwerdeführerin vorliegend entgeltliche Leistungen an die C._______ erbracht. Von einer passiven Gesellschaft ist deshalb nicht auszugehen. Der Umstand, dass die Beschwerdeführerin vor Ort, beim Flughafen in Jeddha (Saudi-Arabien), kein Personal beschäftigte und über keine Räumlichkeiten verfügte, spricht nicht grundsätzlich gegen ihre Unternehmereigenschaft. Die Beschwerdeführerin handelte unbestrittenermassen durch ihren Generalbevollmächtigten, R._______, in Riyadh (Saudi-Arabien) und die Einsatzplanung der Flugzeuge nahm nach Angaben der Beschwerdeführerin ihr Geschäftsführer Captain K._______ mit Wohnsitz in Jeddha vor. Da die B._______AG die Piloten für die Flugzeuge X._______ und Y._______ stellte, brauchte die Beschwerdeführerin bei diesem Geschäftsmodell selber keine Piloten anzustellen. Wie die Beschwerdeführerin zu Recht ausführt, kann es vorliegend für die Frage der Unternehmereigenschaft keine Rolle spielen, dass sie ihren Sitz in Riyadh hat, währenddem ein wesentlicher Teil ihrer Tätigkeit sich auf dem Flughafen in Jeddah abspielte. Entgegen der Ansicht der ESTV liegen im Übrigen auch keine blossen Innenumsätze vor, handelt es sich doch bei der Beschwerdeführerin und der C._______ um zwei selbständige juristische Personen, woran auch der letztlich bestehende Bezug zur königlichen Familie nichts ändert.</w:t>
      </w:r>
    </w:p>
    <w:p>
      <w:r>
        <w:rPr>
          <w:b/>
        </w:rPr>
        <w:t>E. 5.1.4</w:t>
      </w:r>
    </w:p>
    <w:p>
      <w:r>
        <w:t>Im Weiteren wendet die ESTV ein, die Beschwerdeführerin habe den Zahlungsfluss für ihre angeblichen Leistungen nicht nachgewiesen. Die Beschwerdeführerin legt dar, dass das Zahlungssystem in Saudi-Arabien sehr speziell sei. Alle Staatsbetriebe, wie auch die C._______, seien dem zentralen "Clearingsystem" des Finanzministeriums angeschlossen. Alle internationalen Zahlungen der C._______ an die Beschwerdeführerin bzw. an die B._______AG würden zentral durch den Chef des königlichen Rechnungswesens auf Rechnung der C._______ getätigt und abgerechnet. Erhalte ein Unternehmen (wie sie) einen Auftrag, würden ohne vorgängige Rechnungsstellung Depots geäuffnet. Hiervon dürfe das beauftragte Unternehmen die von ihr gestellten Rechnungen abbuchen. Zum Nachweis ihrer Ausführungen reichte die Beschwerdeführerin ein Schreiben des Königreiches Saudi-Arabien vom 1. April 2003 an die B._______AG mit einem Check über USD 4'047'000.-- u.a. für den Betrieb der Flugzeuge X._______ und Y._______ und zwei Gutschriftsanzeigen der Credit Suisse vom 26. August 2004 bzw. vom 25. Oktober 2004, ausweisend zwei Einzahlungen auf das Konto der B._______AG von USD 2'978'266.-- bzw. USD 3'814'390.-- im Auftrag von Q._______, ein (vgl. 5.1.1. d und e). Diese Belege zeigen Direktzahlungen des Königreichs Saudi-Arabien (bzw. den Ausführungen der Beschwerdeführerin folgend: der C._______) an die B._______AG auf. Sie vermögen keinen direkten Nachweis für die Bezahlung der halbjährlich erstellen Rechnungen der Beschwerdeführerin an die C._______ zu erbringen. Der Zahlungsfluss von der C._______ an die Beschwerdeführerin wurde nicht aufgezeigt. Richtigerweise verweist die ESTV in diesem Zusammenhang auch auf die Anmerkung auf den entsprechenden halbjährlichen Rechnungen, dass die Zahlungsabwicklung gemäss Vereinbarung erfolge ("settlement of invoice amount according to Agreement") und diese nicht eingereicht worden sei. Zu beachten ist hier aber, dass der Nachweis der Art und Weise der Zahlungsabwicklung für die Unternehmereigenschaft nach Art. 28 Abs. 1 Bst. c MWSTGV nicht entscheidend ist. Wie die Leistungen der Beschwerdeführerin an die C._______ letztlich bezahlt worden sind, kann deshalb offen bleiben. Im Übrigen erscheinen die Ausführungen der Beschwerdeführerin, dass vorgängig ein Depot geäuffnet worden sei, von dem sie die von ihr gestellten Rechnungen abbuchen durfte, nicht abwegig. Nicht gefolgt werden kann der Ansicht der ESTV, die vorliegenden Rechnungen würden den Eindruck erwecken, dass sie einzig deshalb erstellt worden seien, um letztlich die Rückerstattung der MWST zu beantragen.</w:t>
      </w:r>
    </w:p>
    <w:p>
      <w:r>
        <w:rPr>
          <w:b/>
        </w:rPr>
        <w:t>E. 5.2</w:t>
      </w:r>
    </w:p>
    <w:p>
      <w:r>
        <w:t>Die Beschwerdeführerin stellte der C._______ ihre beiden Flugzeuge X._______ und Y._______ mit Personal zur Verfügung. Es handelt sich hier um einen sog. "Mietcharter" (vgl. E. 2.1.2). Keine Rolle spielt dabei für die Beurteilung des Leistungsverhältnisses zwischen der Beschwerdeführerin und der C._______, dass die Beschwerdeführerin das Personal ihrerseits von der B._______AG bezog. Der "Mietcharter" ist als Lieferung im Sinn von Art. 6 Abs. 2 Bst. b MWSTG zu qualifizieren. Die Flugzeuge wurden der C._______ unbestrittenermassen in Saudi-Arabien überlassen, wo sich somit auch der Leistungsort nach Art. 13 Bst. a MWSTG befand. Wäre der Lieferort in der Schweiz gewesen, wäre diese Lieferung zu versteuern gewesen (Art. 5 Bst. a MWSTG). Hinsichtlich der Leistungen, welche die Beschwerdeführerin von der B._______AG für den "Mietcharter" der Flugzeuge X._______ und Y._______ bezog, ist der Tatbestand von Art. 29 Abs. 1 MWSTGV, d.h. der Bezug von Leistungen, die der Erzielung von Umsätzen dienen, die in der Schweiz der MWST unterliegen würden (vgl. E. 2.2.2), somit erfüllt. Da auch die übrigen Voraussetzungen nach Art. 28 Abs. 1 Bst. a bis c MWSTGV gegeben sind, ist für diese Leistungsbezüge die Steuer zu vergüten. Wie gesehen, verwendete die Beschwerdeführerin diese (Eingangs-)Leistungen der B._______AG für einen geschäftlich begründeten Zweck, d.h. bei ihr kann insoweit kein Endverbrauch gegeben sein (E. 2.2.2.2). Nicht entscheidend für die Frage der Steuervergütung an die Beschwerdeführerin ist, in welchem Ausmass die C._______ die beiden Flugzeuge für geschäftliche Zwecke eingesetzt hat bzw. bei dieser ein Endverbrauch zu bejahen wäre. Mit anderen Worten ändert der Umstand, dass die Flugzeuge auf Weisung der C._______ sporadisch auch Mitgliedern des Königshauses zur Verfügung gestellt worden seien, nichts an der grundsätzlich gewerblichen Qualifikation der Leistungen der Beschwerdeführerin an die C._______. Hinsichtlich der bezogenen Leistungen (Treibstoff, Catering) für das - gemäss ihren Angaben - eingemietete Flugzeug Z._______ hat die Beschwerdeführerin hingegen keinen genügenden Nachweis erbracht, dass diese zur Erzielung von Umsätzen dienten, die in der Schweiz steuerbar wären (Art. 29 Abs. 1 MWSTGV). Die eingereichten halbjährlichen Rechnungen an die C._______ betreffen nur die Zurverfügungstellung der Flugzeuge X._______ und Y._______ (vgl. 5.1.1 b). Im Weiteren sind die von der Beschwerdeführerin nachgereichten Bestätigungen der B._______AG vom 30. März 2009 sowie von Captain K._______ vom 19. März 2009, dass das Flugzeug Z._______ insbesondere für die C._______ eingesetzt worden sei, für den vorliegend erforderlichen Nachweis nicht genügend, da sie erst im Nachhinein erstellt worden und zudem ihrerseits nicht belegt sind. Aus diesem Grund erübrigt sich auch die Befragung der angebotenen Zeugen. Hinsichtlich der Leistungen der B._______AG für das Flugzeug Z._______ kann somit keine Steuervergütung gewährt werden. Nicht zu prüfen ist im vorliegenden Verfahren, ob - wie von der Beschwerdeführerin behauptet - die B._______AG aufgrund einer Auskunft der ESTV vom 8. Juli 2004 (Beschwerdebeilage Nr. 13a) diese Leistungen (Treibstoff und Catering) zu Unrecht als Aircraft Managementleistungen qualifiziert und in der Folge fälschlicherweise mit MWST fakturiert hat. Einen allfälligen Anspruch auf Rückerstattung der von der B._______AG auf diesen Leistungen abgerechneten und der ESTV bezahlten MWST kann von vornherein nur dieser selbst und nicht der Beschwerdeführerin zukommen. Es steht der B._______AG frei, bei der ESTV eine entsprechende Rückerstattung bzw. einen diesbezüglichen Entscheid zu verlangen. Zur Beurteilung einer in der Folge allfällig zu Unrecht vorgenommenen Überwälzung der MWST von der B._______AG auf die Beschwerdeführerin wären demgegenüber gemäss Art. 37 Abs. 6 MWSTG die Zivilgerichte zuständig.</w:t>
      </w:r>
    </w:p>
    <w:p>
      <w:r>
        <w:rPr>
          <w:b/>
        </w:rPr>
        <w:t>E. 5.3</w:t>
      </w:r>
    </w:p>
    <w:p>
      <w:r>
        <w:t>Zu prüfen bleibt, ob - wie von der ESTV geltend gemacht - eine Steuerumgehung (vgl. E. 3) vorliegt. Wirtschaftlich Berechtigter an der Beschwerdeführerin ist Prinz (...), Mitglied des Königshauses von Saudi-Arabien (vgl. Beschwerdebeilage Nr. 8). Da es sich bei der C._______ um einen Staatsbetrieb des Königreichs Saudi-Arabien handelt, zieht die ESTV den Schluss, dass der eigentliche wirtschaftlich Berechtigte an der Beschwerdeführerin offensichtlich die C._______ bzw. das saudische Königshaus selber sei (vgl. Vernehmlassung, Seite 8). Es dränge sich deshalb die Frage auf, wieso die wirtschaftlich Berechtigten die Flugzeuge nicht in eigenem Namen erworben hätten, zumal die Zwischenschaltung der Beschwerdeführerin einen gewissen administrativen Aufwand und Zusatzkosten verursache. Die ESTV verweist im Übrigen auf das Urteil des Bundesgerichts 2C_632/2007 vom 7. April 2008, bei dem eine ähnliche Konstellation als Steuerumgehung qualifiziert worden sei (vgl. Vernehmlassung, Seite 13). Abgesehen davon, dass es auch im erwähnten Fall durchaus Gründe für das "Zwischenschalten" einer AG gab (vgl. BLUM, a.a.O., S. 352 ff.; GRÜNINGER/OESTERHELT, a.a.O., S. 66 f.), teilt das Bundesverwaltungsgericht die Ansicht der ESTV nicht, dass vorliegend ein mit dem erwähnten Bundesgerichtsurteil vergleichbarer Fall gegeben ist. Der Umstand, dass es sich bei der C._______ um einen Staatsbetrieb handelt und der wirtschaftlich Berechtigte der Beschwerdeführerin dem Königshaus von Saudi-Arabien angehört, legt (noch) keine wirtschaftliche Identität der beiden Gesellschaften (C._______ und Beschwerdeführerin) nahe. Im vorliegenden Fall schaltete die C._______ nicht eine Gesellschaft dazwischen, die sie selber beherrschte. Dies im Gegensatz zum Sachverhalt, der dem Urteil des Bundesgerichts 2C_632/2007 zugrunde lag. Hier bestand eine wirtschaftliche Identität zwischen der Gesellschaft, die das Flugzeug gegen Entgelt zur Verfügung stellte und dem Leistungsempfänger, dem Alleinaktionär dieser Gesellschaft. Die von der C._______ gewählte Rechtsgestaltung, dass sie die Flugzeuge nicht selber kaufte, sondern von der Beschwerdeführerin mit Personal mietete (sog. "Mietcharter"), erscheint weder ungewöhnlich noch sachwidrig. Für das gewählte Vorgehen sprechen insbesondere die grössere Flexibilität (je nach Bedarf können mehr oder weniger bzw. andere Flugzeuge gemietet werden) sowie die erhöhte Sicherheit durch die Benutzung verschiedener, nicht auf die eigene Firma lautende Flugzeuge. Im Weiteren liegt im Vergleich zur Konstruktion, bei der die C._______ die Flugzeuge selber kaufen würde, keine erhebliche Steuerersparnis vor. In diesem Fall könnte die C._______ die Steuervergütung für die Aircraft Managementleistungen der B._______AG ihrerseits geltend machen. Zutreffend ist zwar, dass eine Kürzung der Steuervergütung zu erfolgen hätte, da die C._______ die Flugzeuge - nach Angaben der Beschwerdeführerin - zu (maximal) 10% für nicht geschäftliche Zwecke nutzte (Art. 29 Abs. 2 MWSTGV, E. 2.2.2 und 2.2.2.2); dies stellt aber keine erhebliche Steuermehrbelastung dar. Es liegt folglich keine Steuerumgehung vor.</w:t>
      </w:r>
    </w:p>
    <w:p>
      <w:r>
        <w:rPr>
          <w:b/>
        </w:rPr>
        <w:t>E. 5.4</w:t>
      </w:r>
    </w:p>
    <w:p>
      <w:r>
        <w:t>Zu klären ist - insbesondere für das Flugzeug Z._______ - im Weiteren die Bedeutung zweier Schreiben von Bundesrat Merz vom 7. Oktober 2004 bzw. vom 24. Januar 2006 auf das vorliegende Verfahren. Die Beschwerdeführerin macht geltend, sie habe den Beteuerungen des Bundesrates geglaubt, dass die ESTV die Bedingungen für die Steuervergütung an ausländische Unternehmen sehr grosszügig auslege. Hätte sie gewusst, dass die ESTV trotz diesen Zusicherungen ihre Verweigerungspraxis beibehalte, hätte sie ihrem schweizerischen Erbringer der Aircraft Managementleistungen schon im Jahr 2004 und nicht erst 2006 gekündigt und ein ausländisches Unternehmen damit beauftragt. Ihr sei in der Folge in diesem Umfang ein Vertrauensschaden entstanden. Richtig ist, dass Bundesrat Merz als Vorsteher des Eidgenössischen Finanzdepartements der Beschwerdeführerin am 7. Oktober 2004 mitteilte, unter welchen Voraussetzungen ein ausländisches Unternehmen die Steuervergütung für bezogene Aircraft Managementleistungen in der Schweiz geltend machen könne. Er führte aus, dass die heute geltende Verwaltungspraxis gesetzmässig sei und dem System der Nettoallphasensteuer entspreche. Die ESTV lege die für eine Steuervergütung erforderlichen Bedingungen wie etwa das Gegenrecht des ausländischen Staates sehr grosszügig aus, damit beim ausländischen Kunden möglichst keine "taxe occulte" in Form der schweizerischen Mehrwertsteuer anfalle. Mit seinem Schreiben vom 24. Januar 2006 teilte er in Beantwortung einer Aufsichtsbeschwerde vom 7. November 2005 der Beschwerdeführerin zudem u.a. mit, dass von zehn Rückerstattungsanträgen, die saudi-arabische Gesellschaften gestellt hätten, in acht Fällen Rückerstattungen ausbezahlt worden seien. Zwei Fälle seien pendent bzw. noch in Bearbeitung (Stand Ende 2005). Die ESTV sei verpflichtet, die gesetzlichen Voraussetzungen für die Rückerstattung der Mehrwertsteuer sorgfältig zu prüfen. Die Beschwerdeführerin zog offenbar aus den Ausführungen, dass eine sehr grosszügige Auslegung der für die Steuervergütung erforderlichen Bedingungen - wie etwa das Gegenrecht des ausländischen Staates - durch die ESTV erfolge, den Schluss, ihre Anträge auf Steuervergütung würden positiv entschieden. Dieser Schluss ist jedoch nicht zwingend und stellt nichts weiter als eine blosse Mutmassung dar. Wie in den Schreiben klar dargelegt wurde, ist die ESTV verpflichtet, die gesetzlichen Voraussetzungen für die Rückerstattung sorgfältig zu prüfen. Entgegen der Ansicht der Beschwerdeführerin wurde in den betreffenden Schreiben nicht die Erwartung geweckt, dass ihre Gesuche auf Steuervergütung gutgeheissen würden. Es fehlt deshalb bereits an einer Grundlage für ein berechtigtes Vertrauen auf Gutheissung der Anträge, das zu schützen wäre (vgl. E. 4.1). Ebenfalls kann sich die Beschwerdeführerin nicht mit Erfolg darauf berufen, dass in acht anderen Fällen von Rückerstattungsanträgen saudi-arabischer Gesellschaften eine Steuervergütung gewährt worden sei, denn bei jedem Antrag hat die ESTV die verschiedenen Voraussetzungen für eine Steuervergütung, d.h. nicht nur das Gegenrecht des Sitzstaates, einzeln zu prüfen. Hier fehlt es somit ebenfalls bereits an einer Vertrauensgrundlage. Die erwähnten Schreiben vermögen daher am vorliegenden Resultat nichts zu ändern. Zusammenfassend kann der Beschwerdeführerin demnach die Steuervergütung hinsichtlich der Aircraft Managementleistungen, die sie von der B._______AG für die Flugzeuge X._______ und Y._______ bezog, gewährt werden. Hinsichtlich der bezogenen Leistungen für das Flugzeug Z._______ (Treibstoff und Catering) hat die ESTV die Steuervergütung dagegen zu Recht verweigert.</w:t>
      </w:r>
    </w:p>
    <w:p>
      <w:r>
        <w:rPr>
          <w:b/>
        </w:rPr>
        <w:t>E. 5.5</w:t>
      </w:r>
    </w:p>
    <w:p>
      <w:r>
        <w:t>Die Beschwerdeführerin verlangt zudem die Ausrichtung eines Verspätungszinses auf den zu Unrecht verweigerten Steuervergütungen. Spätestens nach der Abweisung der Forderung durch die ESTV und ihrer Anmahnung auf Rückerstattung sei von einem Verzug der ESTV bei der Auszahlung der MWST-Vergütung auszugehen. Mit dieser Frage, ob ein Zins auf der Steuervergütung geschuldet ist, hat sich das Bundesgericht bereits in seinen Urteilen 2C_410/2008 vom 28. Oktober 2008 (E. 3 und 4) und 2C_191/2007 vom 11. Oktober 2007 (E. 3 bis 5) befasst. Es hielt dabei im Wesentlichen fest, dass weder das MWSTG noch die MWSTGV eine Verzinsung der Steuervergütung vorsehe. Vergütungszinsen seien grundsätzlich nur geschuldet, wenn dies gesetzlich vorgesehen sei (Urteile des Bundesgerichts 2C.410/2008 vom 28. Oktober 2008 E. 3.2, 2C_191/2007 vom 11. Oktober 2007 E. 3.2). Nur ausnahmsweise ergebe sich aus Sinn und Zweck der gesetzlichen Regelung, durch Analogieschluss oder aus allgemeinen Prinzipien, dass ein Vergütungszins zu bezahlen sei. Vergütungszinsen rechtfertigten sich insbesondere dort, wo auch der Steuerpflichtige bei nicht rechtzeitiger Zahlung der Steuerforderung einen Verzugszins oder Verspätungszins schulde. Einen solchen Zusammenhang zwischen Verzugszinspflicht des Mehrwertsteuerpflichtigen und einem allfällig geschuldeten Vergütungszins auf der Rückvergütung der Mehrwertsteuer an den Abnehmer mit Wohn- oder Geschäftssitz im Ausland im Vergütungsverfahren nach Art. 90 Abs. 2 Bst. b MWSTG bestehe nicht. Das sei schon deshalb nicht der Fall, weil die rückerstattungsberechtigte Person mit der steuerpflichtigen Person nicht identisch sei. Mit der Stellung des Gesuchs um Steuervergütung oder mit der Erhebung der Einsprache werde die ESTV auch nicht in Verzug gesetzt (Urteil des Bundesgerichts 2C_410/2008 vom 28. Oktober 2008 E. 3.4 und 5). Vielmehr sei der zurückzuerstattende Betrag verfügungsmässig festzulegen. Im Vergütungsverfahren nach Art. 28 ff. MWSTGV sei deshalb kein Vergütungszins vorgesehen. Es handle sich nicht um eine Lücke im Gesetz oder in der Verordnung. Im Weiteren könne eine allfällige völkerrechtliche Verpflichtung zur Bezahlung von Vergütungszinsen von vornherein nur dann gegeben sein, wenn der Sitzstaat der Gesuchstellerin gemäss Art. 90 Abs. 2 Bst. b MWSTG Gegenrecht halte. Es sei folgerichtig, wenn zumindest für Länder, bei denen kein Gegenrecht bestehe, auch keine Vergütungszinsen bezahlt würden (Urteile des Bundesgerichts 2C_410/2008 vom 28. Oktober 2008 und 2C_191/2007 vom 11. Oktober 2007, je E. 3.4 und 4). Das Bundesverwaltungsgericht sieht keinen Anlass, diese klare und auch in der Lehre auf Zustimmung gestossene Rechtsprechung (BÉATRICE BLUM, Verneinung eines Vergütungszinses auf der Steuerrückerstattung an ausländische Unternehmen, in Michael Beusch/ISIS [Hrsg.], Entwicklungen im Steuerrecht 2009, Zürich 2009, S. 355 ff.) aufgrund der sich mit diesen Urteilen auch nicht ansatzweise auseinandersetzenden Vorbringen in der Beschwerdeschrift in Frage zu stellen. Im Lichte dieser Rechtsprechung hat die Beschwerdeführerin damit keinen Anspruch auf Verzinsung der Steuervergütung. Entgegen ihrer Ansicht geriet die ESTV nach der aufgezeigten bundesgerichtlichen Rechtsprechung auch mit der Bestreitung der Verweigerung der Steuervergütung sowie der anschliessenden Einspracheerhebung nicht in Verzug. Im Weiteren ist unbestritten, dass Saudi-Arabien kein Gegenrecht hält und sich deshalb von vornherein keine völkerrechtliche Verpflichtung zur Ausrichtung eines Vergütungszinses ergeben kann.</w:t>
      </w:r>
    </w:p>
    <w:p>
      <w:r>
        <w:rPr>
          <w:b/>
        </w:rPr>
        <w:t>E. 6</w:t>
      </w:r>
    </w:p>
    <w:p>
      <w:r>
        <w:t>Dem Gesagten zufolge ist die Beschwerde teilweise gutzuheissen. Die ESTV hat der Beschwerdeführerin hinsichtlich der Leistungen, die diese von der B._______AG für die Flugzeuge X._______ und Y._______ bezog, grundsätzlich die Steuer zu vergüten. Dabei wird die ESTV bezüglich des Umfangs des Vergütungsanspruchs sowohl die in der Beschwerdeschrift gemachten Aussagen der Beschwerdeführerin wie auch das dem Bundesverwaltungsgericht eingereichte Schreiben der B._______AG vom 30. März 2009 zu würdigen haben. Im Übrigen wird die Beschwerde abgewiesen. Der Einspracheentscheid der ESTV vom 1. Oktober 2008 wird aufgehoben und die Sache zur Berechnung der zu vergütenden Steuer an die ESTV zurückgewiesen. Die Kosten für das Beschwerdeverfahren vor dem Bundesverwaltungsgericht werden auf Fr. 30'000.-- festgesetzt (Art. 4 des Reglements vom 21. Februar 2008 über die Kosten und Entschädigungen vor dem Bundesverwaltungsgericht [VGKE, SR 173.320.2]) und der Beschwerdeführerin entsprechend dem Verfahrensausgang zu einem Drittel auferlegt, ausmachend Fr. 10'000.-- (Art. 63 Abs. 1 VwVG). Diese Auferlegung rechtfertigt sich insbesondere angesichts der von der ESTV zu Recht verweigerten Steuervergütung hinsichtlich der für das Flugzeug Z._______ bezogenen Leistungen, bei denen der Beschwerdeführerin (gemäss ihren eigenen Angaben) in den Jahren 2003-2005 Fr. 526'325.94 MWST (vgl. Beschwerde, Rz. 35 und Beschwerdebeilage Nr. 13a) überwälzt worden sei sowie unter Berücksichtigung des abgewiesenen Antrags auf Verzinsung der Steuervergütung und nicht stattgegebener Rügen im Zusammenhang mit der Berufung auf Treu und Glauben. Der ESTV werden keine Verfahrenskosten auferlegt (Art. 63 Abs. 2 VwVG). Die ESTV hat der teilweise obsiegenden Beschwerdeführerin eine reduzierte Parteientschädigung auszurichten (Art. 64 Abs. 1 und 2 VwVG; Art. 7 ff. VGKE). Die von der Beschwerdeführerin eingereichte Kostennote in der Höhe von Fr. 9'026.95 (inkl. MWST), ausweisend 18.1 Arbeitsstunden zu Fr. 450.--, ist zunächst aufgrund des für das Verfahren vor dem Bundesverwaltungsgericht in der Regel maximal zulässigen Stundenansatzes für Anwälte von Fr. 400.-- (vgl. Art. 10 Abs. 2 VGKE), von dem sich ein Abweichen vorliegend nicht rechtfertigt (Art. 10 Abs. 3 VGKE), auf Fr. 8'053.15 (inkl. MWST; bei einer gleich bleibenden Kleinkostenpauschale) zu kürzen. Aufgrund des nur teilweisen Obsiegens hat die ESTV der Beschwerdeführerin entsprechend der Kostenverlegung von diesem Betrag zwei Drittel, ausmachend Fr. 5'368.75,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