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A-6948/2010 vom 11. August 2011</w:t>
      </w:r>
    </w:p>
    <w:p>
      <w:r>
        <w:t>Bundesverwaltungsgericht, 2011-08-11, DE</w:t>
      </w:r>
    </w:p>
    <w:p>
      <w:r>
        <w:rPr>
          <w:b/>
        </w:rPr>
        <w:t xml:space="preserve">Quelle: </w:t>
      </w:r>
      <w:r>
        <w:t>https://mcp.opencaselaw.ch/entscheid/bvger_A-6948_2010</w:t>
      </w:r>
    </w:p>
    <w:p>
      <w:r>
        <w:t>FR: TAF A-6948/2010 du 11 août 2011</w:t>
      </w:r>
    </w:p>
    <w:p>
      <w:r>
        <w:t>IT: TAF A-6948/2010 del 11 agosto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der Verordnung vom 15. Juni 1998 zum schweizerisch-amerikanischen Doppelbesteuerungsabkommen vom 2. Oktober 1996 [Vo DBA-USA, SR 672.933.61]). Die Zuständigkeit des Bundesverwaltungsgerichts zur Behandlung der Beschwerde ist somit gegeben.</w:t>
      </w:r>
    </w:p>
    <w:p>
      <w:r>
        <w:rPr>
          <w:b/>
        </w:rPr>
        <w:t>E. 1.2</w:t>
      </w:r>
    </w:p>
    <w:p>
      <w:r>
        <w:t>Der Beschwerdeführer erfüllt die Voraussetzungen der Beschwerde­befugnis nach Art. 48 Abs. 1 VwVG.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Dies hat zur Folge, dass das Bundesverwaltungsgericht als Beschwerdeinstanz an die rechtliche Begründung der Begehren nicht gebunden ist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2.1</w:t>
      </w:r>
    </w:p>
    <w:p>
      <w:r>
        <w:t>Der Beschwerdeführer beanstandet, dass die Vorinstanz nicht abgeklärt habe, ob die Voraussetzungen zur Amtshilfeerteilung betreffend das im vorliegenden Verfahren betroffene UBS-Konto der X._______, an welcher der Beschwerdeführer angeblich wirtschaftlich berechtigt gewesen sein soll, erfüllt sind. Die Vorinstanz verzichtete auf die Prüfung der kontorelevanten Voraussetzungen der Kategorie 2/B/b gemäss Anhang zum Staatsvertrag 10 mit der Begründung, dass in einer separaten Schlussverfügung betreffend ein anderes UBS-Konto, an dem der Beschwerdeführer mutmasslich wirtschaftlich berechtigt gewesen sei, die Voraussetzungen der Kategorie 2/B/b geprüft und bejaht worden seien. Deshalb dürfe auch im vorliegenden Verfahren für den Beschwerdeführer als wirtschaftlich Berechtigtem an der X._______ Amtshilfe geleistet werden.</w:t>
      </w:r>
    </w:p>
    <w:p>
      <w:r>
        <w:rPr>
          <w:b/>
        </w:rPr>
        <w:t>E. 2.2</w:t>
      </w:r>
    </w:p>
    <w:p>
      <w:r>
        <w:t>Gemäss Rechtsprechung des Bundesverwaltungsgerichts ist es nicht zulässig, bezüglich einer Person, auf deren Namen mehrere UBS-Konten lauten bzw. die an mehreren UBS-Konten wirtschaftlich berechtigt ist, allein aufgrund des Umstandes, dass die Voraussetzungen zur Amtshilfeleistung für eines dieser Konten erfüllt sind, Amtshilfe für sämtliche UBS-Konten dieser Person zu gewähren. Vielmehr müssen die Voraussetzungen für jedes Konto gesondert erfüllt sein, damit die entsprechenden Daten übermittelt werden dürfen. Dies gilt sowohl für interkategorielle Konstellationen, d.h. für UBS-Konten, die verschiedenen Kategorien des Anhangs zum Staatsvertrag 10 zuzurechnen sind (Urteil des Bundesverwaltungsgerichts A-6258/2010 vom 14. Februar 2011 E. 11), als auch für intrakategorielle Konstellationen, d.h. für UBS-Konten, die unter dieselbe Kategorie fallen (Urteil des Bundesverwaltungsgerichts A-52/2011 vom 28. April 2011 E. 6). Das letztgenannte Urteil betraf zwei UBS-Konten derselben Person, welche unter die Kategorie 2/A/b fielen. Als massgeblich hielt das Bundesverwaltungsgericht fest, dass die betragsmässigen Grenzen im Anhang zum Staatsvertrag 10 nicht an die Person des Kontoinhabers oder des wirtschaftlich Berechtigten, sondern einzig an das Konto selbst anknüpfen. Der Staatsvertrag 10 spricht in Ziff. 2 Bst. A/b Ziff. ii des Anhangs klar vom "UBS-Konto", welches die Einkünfte "erzielte". Nichts anderes kann für UBS-Konten der Kategorie 2/B/b gelten. Auch hier spricht der Staatsvertrag 10 in Ziff. 2 Bst. B/b Ziff. i und ii klar vom "Konto der Offshore-Gesellschaft", welches die jährlichen Durchschnittseinkünfte "erzielte". Es besteht für das Bundesverwaltungsgericht kein Anlass, dem diesbezüglichen Wortlaut von Ziff. 2 Bst. B/b Ziff. i und ii eine andere Bedeutung beizumessen als demjenigen in Ziff. 2 Bst. A/b Ziff. ii (Urteile des Bundesverwaltungsgerichts A-6792/2010 vom 4. Mai 2011 E. 9.1.2 und A-6853/2010 vom 19. Juli 2011 E. 6.1). Gestützt auf den Wortlaut in Ziff. 2 Bst. B/b darf in einer intrakategoriellen Konstellation, in der dieselbe in das Amtshilfeverfahren einbezogene Person als wirtschaftlich Berechtigte an zwei oder mehreren "offshore company acccounts" genannt wird, demnach nur dann Amtshilfe geleistet werden, wenn für jedes einzelne "offshore company account" die quantitativen Voraussetzungen der Kategorie 2/B/b erfüllt sind.</w:t>
      </w:r>
    </w:p>
    <w:p>
      <w:r>
        <w:rPr>
          <w:b/>
        </w:rPr>
        <w:t>E. 2.3</w:t>
      </w:r>
    </w:p>
    <w:p>
      <w:r>
        <w:t>Nach dem Gesagten ist die angefochtene Schlussverfügung in diesem Punkt mit dem Staatsvertrag 10 nicht vereinbar. Die Auffassung der ESTV, Amtshilfe dürfe aufgrund des Umstandes, dass die Voraussetzungen der Amtshilfeleistung für das UBS-Konto im Verfahren [...] erfüllt sind, auch bezüglich des UBS-Kontos im Verfahren [...] geleistet werden, ohne dass geprüft werden müsste, ob die kontorelevanten Voraussetzungen für dieses Konto tatsächlich erfüllt sind, erweist sich als völkerrechtswidrig. Die Vorinstanz räumt in der Vernehmlassung ein, dass die Voraussetzungen zur Amtshilfeerteilung für das im vorliegenden Verfahren [...] betroffene UBS-Konto für sich allein nicht erfüllt wären, um Amtshilfe zu erteilen. Diese Sachlage würde an sich zu einer Gutheissung der vorliegenden Beschwerde führen. Entgegen ihrer Praxis hat es die Vorinstanz jedoch unterlassen, eine Dossieranalyse vorzunehmen, welche das Bundesverwaltungsgericht auf Richtigkeit und Vollständigkeit überprüfen könnte. Auch in der Vernehmlassung führt die Vorinstanz nicht aus, welche Voraussetzungen zur Amtshilfeleistung sie als nicht erfüllt betrachtet. In Ermangelung einer ausreichenden Feststellung der tatsächlichen Verhältnisse durch die Vorinstanz ist die Sache zur Prüfung der Frage, ob die kontorelevanten Voraussetzungen der Amtshilfeleistung für das betroffene UBS-Konto im Verfahren [...] erfüllt resp. nicht erfüllt sind, an die Vorinstanz zurückzuweisen.</w:t>
      </w:r>
    </w:p>
    <w:p>
      <w:r>
        <w:rPr>
          <w:b/>
        </w:rPr>
        <w:t>E. 3</w:t>
      </w:r>
    </w:p>
    <w:p>
      <w:r>
        <w:t>Nach dem Gesagten ist die Beschwerde im Sinne der Erwägungen gutzuheissen und die Leistung von Amtshilfe ist (vorerst) zu verweigern. Bei diesem Verfahrensausgang können Ausführungen zu den übrigen Vorbringen des Beschwerdeführers unterbleiben. Gemäss bundesgerichtlicher Rechtsprechung gilt die Rückweisung der Sache an die Vorinstanz zu neuem Entscheid mit noch offenem Ausgang als volles Obsiegen der beschwerdeführenden Partei (BGE 132 V 215 E. 6.1; Marcel Maillard, in: Praxiskommentar VwVG, Waldmann/Weis­senberger [Hrsg.], Zürich 2009, Art. 63 N 14). Dem Beschwerdeführer sind demzufolge keine Verfahrenskosten aufzuerlegen (Art. 63 Abs. 1 VwVG e contrario). Der geleistete Kostenvorschuss von Fr. 10'000.-- ist dem Beschwerdeführer zurückzuerstatten. Ausserdem ist ihm eine angemessene Parteientschädigung zuzusprechen (Art. 7 ff. VGKE). Diese wird auf Fr. 5'000.-- festgesetzt.</w:t>
      </w:r>
    </w:p>
    <w:p>
      <w:r>
        <w:rPr>
          <w:b/>
        </w:rPr>
        <w:t>E. 4</w:t>
      </w:r>
    </w:p>
    <w:p>
      <w:r>
        <w:t>Dieser Entscheid kann nicht mit Beschwerde in öffentlich-rechtlichen Angelegenheiten an das Bundesgericht weitergezogen werden (Art. 83 Bst. h des Bundesgesetzes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