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A-692/2008 vom 7. April 2008</w:t>
      </w:r>
    </w:p>
    <w:p>
      <w:r>
        <w:t>Bundesverwaltungsgericht, 2008-04-07, DE</w:t>
      </w:r>
    </w:p>
    <w:p>
      <w:r>
        <w:rPr>
          <w:b/>
        </w:rPr>
        <w:t xml:space="preserve">Quelle: </w:t>
      </w:r>
      <w:r>
        <w:t>https://mcp.opencaselaw.ch/entscheid/bvger_A-692_2008</w:t>
      </w:r>
    </w:p>
    <w:p>
      <w:r>
        <w:t>FR: TAF A-692/2008 du 7 avril 2008</w:t>
      </w:r>
    </w:p>
    <w:p>
      <w:r>
        <w:t>IT: TAF A-692/2008 del 7 aprile 2008</w:t>
      </w:r>
    </w:p>
    <w:p>
      <w:pPr>
        <w:pStyle w:val="Heading2"/>
      </w:pPr>
      <w:r>
        <w:t>Regeste</w:t>
      </w:r>
    </w:p>
    <w:p>
      <w:r>
        <w:t>Zugang zu Fernmeldenetzen</w:t>
      </w:r>
    </w:p>
    <w:p>
      <w:pPr>
        <w:pStyle w:val="Heading2"/>
      </w:pPr>
      <w:r>
        <w:t>Erwägungen</w:t>
      </w:r>
    </w:p>
    <w:p>
      <w:r>
        <w:rPr>
          <w:b/>
        </w:rPr>
        <w:t>E. 1</w:t>
      </w:r>
    </w:p>
    <w:p>
      <w:r>
        <w:t>Das Bundesverwaltungsgericht ist Beschwerdeinstanz bei Verfügungen der ComCom über Zugangsstreitigkeiten im Sinne von Art. 11a des Fernmeldegesetzes vom 30. April 1997 (FMG, SR 784.10) und damit also auch bei Interkonnektionsfragen (Art. 31 ff. des Verwaltungsgerichtsgesetzes vom 17. Juni 2005 [VGG, SR 173.32]). Es hat deshalb das Begehren von C._______ um Beiladung ins vorliegende Beschwerdeverfahren zu prüfen. Wird einem Beiladungsgesuch entsprochen, erfolgt dies im Rahmen einer Zwischenverfügung, wozu die Instruktionsrichterin zuständig ist. Wird die Beiladung hingegen abgelehnt, wird das Verfahren bezogen auf diese Frage bereits endgültig erledigt; in diesem Fall ist daher ein Teilentscheid zu fällen und zwar durch den ganzen Spruchkörper.</w:t>
      </w:r>
    </w:p>
    <w:p>
      <w:r>
        <w:rPr>
          <w:b/>
        </w:rPr>
        <w:t>E. 2</w:t>
      </w:r>
    </w:p>
    <w:p>
      <w:r>
        <w:t>Wer in einem Beschwerdeverfahren nicht Partei ist, von dessen Ausgang aber in seinen rechtlichen oder tatsächlichen Interessen unmittelbar berührt sein kann, wird vom Bundesverwaltungsgericht praxisgemäss in der Form der Beiladung einbezogen. Die Beiladung bezweckt einerseits, die Rechtskraft des anstehenden Entscheids auf die beigeladene Person auszudehnen. Diese erlangt damit Parteistellung, wird aber nicht Hauptpartei, sondern bloss Nebenpartei. Ihr kommt keine Verfügungsmacht über den Streitgegenstand zu. Andererseits kann man den Zweck der Beiladung auch in der Gewährung des rechtlichen Gehörs sehen (Isabelle Häner, Die Beteiligten im Verwaltungsverfahren und Verwaltungsprozess, Zürich 2000, Rz. 298). Die Beiladung ist im Verfahrensrecht des Bundes, d.h. im Bundesgesetz vom 20. Dezember 1968 über das Verwaltungsverfahren (VwVG, SR 172.021), nicht geregelt (vgl. immerhin Art. 57 VwVG), in der Praxis aber ohne weiteres zugelassen (vgl. zum Ganzen: Ulrich Zimmerli/Walter Kälin/Regina Kiener, Grundlagen des öffentlichen Verfahrensrechts, Bern 2004, S. 99).</w:t>
      </w:r>
    </w:p>
    <w:p>
      <w:r>
        <w:rPr>
          <w:b/>
        </w:rPr>
        <w:t>E. 3</w:t>
      </w:r>
    </w:p>
    <w:p>
      <w:r>
        <w:t>Ausgangspunkt für die vorliegende Betrachtung ist, dass die ComCom für alle Interkonnektionspartnerinnen der A._______ getrennte Interkonnektionsverfahren führt. Das ist nicht zuletzt Ausfluss davon, dass die Interkonnektionsparteien die Interkonnektionsbedingungen in erster Linie selbständig regeln (Verhandlungsprimat, Art. 11a FMG). Trotzdem gibt es zwischen den verschiedenen Interkonnektionsverfahren Wechselwirkungen. So bringt C._______ vor, die Rückwirkungsklausel sei in mehreren Zugangsstreitigkeiten zwischen ihr und der A._______ ebenfalls Thema. Mithin sei der vorliegend zu fällende Beschwerdeentscheid für sie von präjudizieller Wirkung und betreffe sie daher mittelbar. Dem ist nicht zu widersprechen. Wie C._______ jedoch selber ausführt, ist ihre Betroffenheit nur eine mittelbare. Im vorliegenden Beschwerdeverfahren geht es ausschliesslich um das Verhältnis zwischen der A._______ und der B._______. Eine Beiladung würde seitens von C._______ jedoch eine unmittelbare Betroffenheit voraussetzen. Dass sich in ihren Beziehungen zur A._______ gleiche Fragen stellen wie vorliegend, ist kein Grund für eine Beiladung. Denn sonst müsste ein Gericht, das in einem bestimmten Fall einen Leitentscheid zu fällen hat, stets all jene in das Verfahren einbeziehen, bei denen sich die zu beantwortende Rechtsfrage gleichermassen stellt. Das entspräche aber nicht dem Zweck der Beiladung, der förmlichen und direkten Ausdehnung der Rechtskraft eines Entscheids auf eine bestimmte Partei, die unmittelbar betroffen ist.</w:t>
      </w:r>
    </w:p>
    <w:p>
      <w:r>
        <w:rPr>
          <w:b/>
        </w:rPr>
        <w:t>E. 4</w:t>
      </w:r>
    </w:p>
    <w:p>
      <w:r>
        <w:t>Weiter ist anzunehmen, dass die Interkonnektionsvereinbarung zwischen C._______ und A._______ - entsprechend dem allgemeinen Standard - ebenfalls eine Drittwirkungsklausel enthält. Dadurch wird der hier strittige Passus, so wie er nach Abschluss des vorliegenden Verfahrens aussehen wird, namentlich im Punkt Rückwirkung und Zins, auch für C._______ von Belang sein. Das ist bei einer Drittwirkungsklausel jedoch naturgemäss so, begründet entsprechend kein besonderes, unmittelbares Betroffensein und aktuelles Rechtsschutzinteresse und ist damit kein Grund für eine Beiladung. Zu beachten ist sodann, dass Regelwerke mit Drittwirkungsklauseln meist nicht multilateral, also unter Einbezug aller (gleich) Betroffenen, sondern - gerade wegen der Drittwirkungsklausel - bilateral, also im Zweierverhältnis, erarbeitet werden. Eine Beiladung wäre vorliegend also auch systemwidrig. Kommt hinzu, dass, wenn schon, nicht nur C._______ beizuladen wäre, sondern alle übrigen Interkonnektionspartnerinnen der A._______ auch. Somit ist der Antrag von C._______ um Beiladung in das vorliegende Beschwerdeverfahren abzuweisen.</w:t>
      </w:r>
    </w:p>
    <w:p>
      <w:r>
        <w:rPr>
          <w:b/>
        </w:rPr>
        <w:t>E. 5</w:t>
      </w:r>
    </w:p>
    <w:p>
      <w:r>
        <w:t>Für diesen Teilentscheid sind keine Verfahrenskosten zu erheben. Obwohl C._______ bei diesem Ausgang gerade nicht Parteistatus erlangt, ist denkbar, sie zu einer Parteientschädigung zugunsten der A._______ und der B._______ zu verpflichten (Art. 64 VwVG analog). Wegen des relativ geringen Aufwands sind vorliegend aber keine Parteientschädigungen zuzusprechen (Art. 7 Abs. 4 des Reglements vom 11. Dezember 2006 über die Kosten und Entschädigungen vor dem Bundesverwaltungsgericht [VGKE, SR 173.320.2]).</w:t>
      </w:r>
    </w:p>
    <w:p>
      <w:r>
        <w:rPr>
          <w:b/>
        </w:rPr>
        <w:t>E. 6</w:t>
      </w:r>
    </w:p>
    <w:p>
      <w:r>
        <w:t>Dieser Teilentscheid kann nicht beim Bundesgericht angefochten werden (Art. 83 Bst. p Ziff. 2 des Bundesgerichtsgesetzes vom 17. Juni 2005 [BGG, SR 173.110]) und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