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A-6928/2019 vom 13. Dezember 2021</w:t>
      </w:r>
    </w:p>
    <w:p>
      <w:r>
        <w:t>Bundesverwaltungsgericht, 2021-12-13, DE</w:t>
      </w:r>
    </w:p>
    <w:p>
      <w:r>
        <w:rPr>
          <w:b/>
        </w:rPr>
        <w:t xml:space="preserve">Quelle: </w:t>
      </w:r>
      <w:r>
        <w:t>https://mcp.opencaselaw.ch/entscheid/bvger_A-6928_2019</w:t>
      </w:r>
    </w:p>
    <w:p>
      <w:r>
        <w:t>FR: TAF A-6928/2019 du 13 décembre 2021</w:t>
      </w:r>
    </w:p>
    <w:p>
      <w:r>
        <w:t>IT: TAF A-6928/2019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3.2.6)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Aus dieser Rechtsprechung ergibt sich, dass sich eine allfällige Beschwerdelegitimation von Personen, welche von einem Amtshilfeersuchen nicht formell betroffen sind (vgl. nachfolgend E. 3.2.5)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vgl. Urteil des BVGer A-2175/2021 vom 22. September 2021 E. 1.3.1).</w:t>
      </w:r>
    </w:p>
    <w:p>
      <w:r>
        <w:rPr>
          <w:b/>
        </w:rPr>
        <w:t>E. 1.4.2</w:t>
      </w:r>
    </w:p>
    <w:p>
      <w:r>
        <w:t>Der Beschwerdeführer erfüllt als Adressat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in den Erwägungen 1.4.1 und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der Beschwerdeführer gegen die Übermittlung der Namen und anderer schützenswerte Informationen von Geschäftspartnern der betroffenen Personen 3 und 4 mit der Begründung ausspricht, es bestehe die Befürchtung, der ersuchte Staat könnte eine Veröffentlichung dieser Daten nicht verhindern (vgl. Stellungnahme vom 8. Januar 2021 Rz. 16).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(E. 3.2.1). Darüber hinaus sind sie durch das geltende Spezialitätsprinzip vor einer nachteiligen Verwendung ihrer Daten geschützt (vgl. nachfolgend E. 3.2.6).</w:t>
      </w:r>
    </w:p>
    <w:p>
      <w:r>
        <w:rPr>
          <w:b/>
        </w:rPr>
        <w:t>E. 1.5</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a.a.O., Rz. 1.54).</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 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vom Beschwerdeführer vorgebrachten Rügen eingegangen, soweit darauf einzutreten ist (vgl. vorangehend E. 1.4.1 ff.) und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der Beschwerdeführer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Der Beschwerdeführer rügt, das Amtshilfeersuchen betreffe ihn in keiner Weise. Weder werde er im Amtshilfeersuchen genannt, noch würden die im Amtshilfeersuchen erwähnten Bankkonten eine Verbindung zu ihm aufweisen. Im Amtshilfeersuchen werde sodann nicht dargelegt, inwiefern die ihn betreffenden Informationen für das Verfahren relevant sein sollten. In Anwendung von Art. 4 Abs. 3 StAhiG sei eine Übermittlung ihrer Daten unzulässig. Dem Amtshilfeersuchen sei nicht zu entsprechen und es sei von der beabsichtigten Übermittlung der Informationen an das MoF abzusehen.</w:t>
      </w:r>
    </w:p>
    <w:p>
      <w:r>
        <w:rPr>
          <w:b/>
        </w:rPr>
        <w:t>E. 4.1.2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die betroffenen Personen 1 und 2 hätten durch Handelsgeschäfte mittels einer von ihnen gesteuerten Unternehmensstruktur, beinhaltend zwei offshore Gesellschaften (die betroffenen Personen 3 und 4)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4.1.3</w:t>
      </w:r>
    </w:p>
    <w:p>
      <w:r>
        <w:t>Der Beschwerdeführer ist verwandtschaftlich mit den betroffenen Personen 1 und 2 verbunden und wirtschaftlich Berechtigter an vom Amtshilfeersuchen betroffenen Konten. Damit handelt es sich beim Beschwerdeführer nicht um eine Person, deren Namen «rein zufällig» in den zu übermittelnden Unterlagen auftaucht und deshalb zu schwärzen wäre (vgl. E. 3.2.5). Die den Beschwerdeführer betreffenden Informationen können geeignet sein, Geldflüsse nachzuvollziehen und sind damit als voraussichtlich erheblich für die korrekte Besteuerung der betroffenen Personen 1 und 2 einzustufen.</w:t>
      </w:r>
    </w:p>
    <w:p>
      <w:r>
        <w:rPr>
          <w:b/>
        </w:rPr>
        <w:t>E. 4.1.4</w:t>
      </w:r>
    </w:p>
    <w:p>
      <w:r>
        <w:t>Wie bereits erwähnt kann in der Regel nur der ersuchende Staat abschliessend feststellen,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4.2</w:t>
      </w:r>
    </w:p>
    <w:p>
      <w:r>
        <w:t>In Bezug auf die Rüge des Beschwerdeführers, die ESTV habe im vorliegenden Verfahren davon abgesehen, einen ausreichenden Spezialitätsvorbehalt anzubringen,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des Beschwerdeführers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der Beschwerdeführer darüber hinaus verlangt, es sei eine schriftliche Zusicherung von der ersuchenden Behörde zu verlangen, ist ihm hingegen nicht zu folgen. Entgegen den Ausführungen des Beschwerdeführers sind keine Anhaltspunkte ersichtlich, wonach eine zweckwidrige Verwendung im ersuchenden Staat befürchtet bzw. eine entsprechende Zusicherung eingeholt werden müsste (E. 3.2.7).</w:t>
      </w:r>
    </w:p>
    <w:p>
      <w:r>
        <w:rPr>
          <w:b/>
        </w:rPr>
        <w:t>E. 4.3.1</w:t>
      </w:r>
    </w:p>
    <w:p>
      <w:r>
        <w:t>Der Beschwerdeführer rügt, die Schlussverfügung erweise sich als unangemessen im Sinne von Art. 49 Bst. c VwVG (Beschwerde Ziff. 3.4, Stellungnahme vom 8. Januar 2021 mit Verweis auf Ziff. 3.5 Rz. 110 ff. der Stellungnahme vom 7. Januar 2021 der betroffenen Person 3).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4.3.2</w:t>
      </w:r>
    </w:p>
    <w:p>
      <w:r>
        <w:t>Die sich in den Unterlagen befindlichen Informationen zum Beschwerdeführer erweisen sich wie bereits ausgeführt als im abkommensrechtlichen Sinne voraussichtlich erheblich. Die Vorinstanz hat diesbezüglich zu Recht die Übermittlung vorgesehen und es besteht praxisgemäss - entgegen der Ansicht des Beschwerdeführers - kein Raum für eine Interessenabwägung im Sinne von Art. 4 Abs. 3 StAhiG (vgl. dazu etwa Urteil des BVGer A-1315/2019 vom 17. September 2019 E. 3.2.8 [vom BGer mit Urteil 2C_820/2019 vom 13. Juli 2020 bestätigt]; zum Ganzen: Urteil des BVGer A-3972/2019 vom 22. März 2021 E. 4.6.2). Der Beschwerdeführer wird im Übrigen - ebenso wie die anderen beschwerdeberechtigten Personen und weitere in den Unterlagen genannte Dritte - durch das Spezialitätsprinzip geschützt (vgl. E. 3.2.6). Die Beschwerde ist daher auch in diesem Punkt abzuweisen.</w:t>
      </w:r>
    </w:p>
    <w:p>
      <w:r>
        <w:rPr>
          <w:b/>
        </w:rPr>
        <w:t>E. 4.4</w:t>
      </w:r>
    </w:p>
    <w:p>
      <w:r>
        <w:t>Soweit der Beschwerdeführer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vom Beschwerdeführer genannten Übermittlungsbeilagen Enclosure 12, 13 und 14 um Kontoeröffnungsunterlagen handelt, erübrigen sich weitere Ausführungen zu diesem Vorbringen.</w:t>
      </w:r>
    </w:p>
    <w:p>
      <w:r>
        <w:rPr>
          <w:b/>
        </w:rPr>
        <w:t>E. 4.5</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4.2).</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Insgesamt sind die Verfahrenskosten - unter Berücksichtigung des marginalen Obsiegens des Beschwerdeführers sowie von Synergien bei der Behandlung der sieben Parallelverfahren - auf Fr. 3'500.-- festzusetzen (vgl. Art. 2 Abs. 1 in Verbindung mit Art. 4 des Reglements vom 21. Februar 2008 über die Kosten und Entschädigungen vor dem Bundesverwaltungsgericht [VGKE; SR 173.320.2]) und dem unterliegenden Beschwerdeführer aufzuerlegen. Letzterer Betrag ist dem geleisteten Kostenvorschuss von Fr. 5'000.-- zu entnehmen. Der Restbetrag von Fr. 1'500.-- ist dem Beschwerdeführer nach Eintritt der Rechtskraft des vorliegenden Urteils zurückzuerstatten.</w:t>
      </w:r>
    </w:p>
    <w:p>
      <w:r>
        <w:rPr>
          <w:b/>
        </w:rPr>
        <w:t>E. 5.2</w:t>
      </w:r>
    </w:p>
    <w:p>
      <w:r>
        <w:t>Im vorliegenden Fall obsiegt der Beschwerdeführer in marginalem Umfang. Ihm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