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A-6925/2019 vom 13. Dezember 2021</w:t>
      </w:r>
    </w:p>
    <w:p>
      <w:r>
        <w:t>Bundesverwaltungsgericht, 2021-12-13, DE</w:t>
      </w:r>
    </w:p>
    <w:p>
      <w:r>
        <w:rPr>
          <w:b/>
        </w:rPr>
        <w:t xml:space="preserve">Quelle: </w:t>
      </w:r>
      <w:r>
        <w:t>https://mcp.opencaselaw.ch/entscheid/bvger_A-6925_2019</w:t>
      </w:r>
    </w:p>
    <w:p>
      <w:r>
        <w:t>FR: TAF A-6925/2019 du 13 décembre 2021</w:t>
      </w:r>
    </w:p>
    <w:p>
      <w:r>
        <w:t>IT: TAF A-6925/2019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nachfolgend E. 3.2.6)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Aus dieser Rechtsprechung ergibt sich, dass sich eine allfällige Beschwerdelegitimation von Personen, welche von einem Amtshilfeersuchen nicht formell betroffen sind (vgl. nachfolgend E. 3.2.5)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 vgl. Urteil des BVGer A-2175/2021 vom 22. September 2021 E. 1.3.1).</w:t>
      </w:r>
    </w:p>
    <w:p>
      <w:r>
        <w:rPr>
          <w:b/>
        </w:rPr>
        <w:t>E. 1.4.2</w:t>
      </w:r>
    </w:p>
    <w:p>
      <w:r>
        <w:t>Die Beschwerdeführerin erfüllt als Adressatin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in den Erwägungen 1.4.1 und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die Beschwerdeführerin gegen die Übermittlung der Namen und anderer schützenswerte Informationen von Geschäftspartnern der betroffenen Personen 3 und 4 mit der Begründung ausspricht, es bestehe die Befürchtung, der ersuchte Staat könnte eine Veröffentlichung dieser Daten nicht verhindern (vgl. Stellungnahme vom 7. Januar 2021 Rz. 17).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(E. 3.2.1). Darüber hinaus sind sie durch das geltende Spezialitätsprinzip vor einer nachteiligen Verwendung ihrer Daten geschützt (vgl. nachfolgend E. 3.2.6).</w:t>
      </w:r>
    </w:p>
    <w:p>
      <w:r>
        <w:rPr>
          <w:b/>
        </w:rPr>
        <w:t>E. 1.5</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Prozessieren vor dem Bundesverwaltungsgericht, 2. Aufl. 2013, Rz. 1.54).</w:t>
      </w:r>
    </w:p>
    <w:p>
      <w:r>
        <w:rPr>
          <w:b/>
        </w:rPr>
        <w:t>E. 2.1</w:t>
      </w:r>
    </w:p>
    <w:p>
      <w:r>
        <w:t>Zunächst ist auf den prozessualen Antrag der Vorinstanz einzugehen, das vorliegende Verfahren sei mit den unter den separaten Geschäftsnummern geführten Parallelverfahren (A-6857/2019, A-6858/2019, A-6925/ 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 die Vertragsparteien, darunter die Schweiz und Israel - unter der Bedingung, dass die in Art. 18 Abs. 1 MAC genannten Voraussetzungen erfüllt sind (vgl. dazu nachfolgend E. 3.1.6)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ein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(Urteile des BVGer A-4588/2018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von der Beschwerdeführerin vorgebrachten Rügen eingegangen, soweit darauf einzutreten ist (vgl. vorangehend E. 1.4.1 ff.) und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die Beschwerdeführerin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Die Beschwerdeführerin macht geltend, weder sie noch die vom Amtshilfeersuchen betroffenen Personen hätten Einkommen vor den israelischen Steuerbehörden verheimlicht oder unterschlagen. Die Steuerbehörden seien stets über die Einkünfte der betroffenen Personen sowie der Beschwerdeführerin im Bild gewesen. Hinzu komme, dass sie zum einen im Amtshilfeersuchen nicht genannt werde und zum anderen die im Ersuchen genannten Bankkonten keinerlei Verbindung zu ihr aufweisen würden. Im Amtshilfeersuchen werde nicht dargelegt, inwiefern die sie betreffenden Informationen für das Verfahren gegen die betroffenen Personen relevant sein sollten. In Anwendung von Art. 4 Abs. 3 StAhiG sei eine Übermittlung ihrer Daten unzulässig. Dem Amtshilfeersuchen sei nicht zu entsprechen und es sei von der beabsichtigten Übermittlung der Informationen an das MoF abzusehen.</w:t>
      </w:r>
    </w:p>
    <w:p>
      <w:r>
        <w:rPr>
          <w:b/>
        </w:rPr>
        <w:t>E. 4.1.2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die betroffenen Personen 1 und 2 hätten durch Handelsgeschäfte mittels einer von ihnen gesteuerten Unternehmensstruktur, beinhaltend zwei offshore Gesellschaften (die betroffenen Personen 3 und 4)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4.1.3</w:t>
      </w:r>
    </w:p>
    <w:p>
      <w:r>
        <w:t>Gemäss den edierten Bankinformationen, insbesondere den Kontoeröffnungsunterlagen mit Angaben zu den Kontoinhabern, Zeichnungsberechtigten und wirtschaftlichen Berechtigten erscheint es als plausibel, dass die Beschwerdeführerin Teil des israelischen Familienunternehmens ist, welches sich in Besitz der betroffenen Personen 1 und 2 befindet. Damit handelt es sich bei der Beschwerdeführerin nicht um eine Person, deren Namen «rein zufällig» in den zu übermittelnden Unterlagen auftaucht und deshalb zu schwärzen wäre (vgl. E. 3.2.5). Die die Beschwerdeführerin betreffenden Informationen können geeignet sein, Geldflüsse nachzuvollziehen und sind damit als voraussichtlich erheblich für die korrekte Besteuerung der betroffenen Personen 1 und 2 einzustufen.</w:t>
      </w:r>
    </w:p>
    <w:p>
      <w:r>
        <w:rPr>
          <w:b/>
        </w:rPr>
        <w:t>E. 4.1.4</w:t>
      </w:r>
    </w:p>
    <w:p>
      <w:r>
        <w:t>Wie bereits erwähnt kann in der Regel nur der ersuchende Staat abschliessend feststellen kann,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4.2</w:t>
      </w:r>
    </w:p>
    <w:p>
      <w:r>
        <w:t>In Bezug auf die Rüge der Beschwerdeführerin, die ESTV habe im vorliegenden Verfahren davon abgesehen, einen entsprechenden Spezialitätsvorbehalt anzubringen,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der Beschwerdeführerin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die Beschwerdeführerin darüber hinaus verlangt, es sei eine schriftliche Zusicherung von der ersuchenden Behörde zu verlangen, ist ihr hingegen nicht zu folgen. Entgegen den Ausführungen der Beschwerdeführerin sind keine Anhaltspunkte ersichtlich, wonach eine zweckwidrige Verwendung im ersuchenden Staat befürchtet bzw. eine entsprechende Zusicherung eingeholt werden müsste (E. 3.2.7).</w:t>
      </w:r>
    </w:p>
    <w:p>
      <w:r>
        <w:rPr>
          <w:b/>
        </w:rPr>
        <w:t>E. 4.3.1</w:t>
      </w:r>
    </w:p>
    <w:p>
      <w:r>
        <w:t>Die Beschwerdeführerin rügt, die Schlussverfügung erweise sich als unangemessen im Sinne von Art. 49 Bst. c VwVG (Beschwerde Ziff. 3.4, Stellungnahme vom 7. Januar 2021 mit Verweis auf Ziff. 3.5 Rz. 110 ff. der Stellungnahme gleichen Datums der betroffenen Person 3).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4.3.2</w:t>
      </w:r>
    </w:p>
    <w:p>
      <w:r>
        <w:t>Die sich in den Unterlagen befindlichen Informationen zur Beschwerdeführerin erweisen sich wie bereits ausgeführt als im abkommensrechtlichen Sinne voraussichtlich erheblich. Die Vorinstanz hat diesbezüglich zu Recht die Übermittlung vorgesehen und es besteht praxisgemäss - entgegen der Ansicht der Beschwerdeführerin - kein Raum für eine Interessenabwägung im Sinne von Art. 4 Abs. 3 StAhiG (vgl. dazu etwa Urteil des BVGer A-1315/2019 vom 17. September 2019 E. 3.2.8 [vom BGer mit Urteil 2C_820/2019 vom 13. Juli 2020 bestätigt]; zum Ganzen: Urteil des BVGer A-3972/2019 vom 22. März 2021 E. 4.6.2). Die Beschwerdeführerin wird im Übrigen durch das Spezialitätsprinzip geschützt (vgl. E. 3.2.6). Die Beschwerde ist daher auch in diesem Punkt abzuweisen.</w:t>
      </w:r>
    </w:p>
    <w:p>
      <w:r>
        <w:rPr>
          <w:b/>
        </w:rPr>
        <w:t>E. 4.4</w:t>
      </w:r>
    </w:p>
    <w:p>
      <w:r>
        <w:t>Soweit die Beschwerdeführerin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von der Beschwerdeführerin genannten Übermittlungsbeilagen Enclosure 12, 13, 14 und 15 um Kontoeröffnungsunterlagen handelt, erübrigen sich weitere Ausführungen zu diesem Vorbringen.</w:t>
      </w:r>
    </w:p>
    <w:p>
      <w:r>
        <w:rPr>
          <w:b/>
        </w:rPr>
        <w:t>E. 4.5</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4.2).</w:t>
      </w:r>
    </w:p>
    <w:p>
      <w:r>
        <w:rPr>
          <w:b/>
        </w:rPr>
        <w:t>E. 5</w:t>
      </w:r>
    </w:p>
    <w:p>
      <w:r>
        <w:t>Es bleibt, auf die Kosten- und Entschädigungsfolgen des vorliegenden Beschwerdeverfahrens einzugehen:</w:t>
      </w:r>
    </w:p>
    <w:p>
      <w:r>
        <w:rPr>
          <w:b/>
        </w:rPr>
        <w:t>E. 5.1</w:t>
      </w:r>
    </w:p>
    <w:p>
      <w:r>
        <w:t>Die Verfahrenskosten werden in der Regel der unterliegenden Partei auferlegt (Art. 63 Abs. 1 VwVG). Insgesamt sind die Verfahrenskosten - unter Berücksichtigung des marginalen Obsiegens der Beschwerdeführerin sowie von Synergien bei der Behandlung der sieben Parallelverfahren - auf Fr. 3'500.-- festzusetzen (vgl. Art. 2 Abs. 1 in Verbindung mit Art. 4 des Reglements vom 21. Februar 2008 über die Kosten und Entschädigungen vor dem Bundesverwaltungsgericht [VGKE; SR 173.320.2]) und der unterliegenden Beschwerdeführerin aufzuerlegen. Letzterer Betrag ist dem geleisteten Kostenvorschuss von Fr. 5'000.-- zu entnehmen. Der Restbetrag von Fr. 1'500.-- ist den Beschwerdeführenden nach Eintritt der Rechtskraft des vorliegenden Urteils zurückzuerstatten.</w:t>
      </w:r>
    </w:p>
    <w:p>
      <w:r>
        <w:rPr>
          <w:b/>
        </w:rPr>
        <w:t>E. 5.2</w:t>
      </w:r>
    </w:p>
    <w:p>
      <w:r>
        <w:t>Im vorliegenden Fall obsiegt die Beschwerdeführerin in marginalem Umfang. Ihr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