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A-6925/2010 vom 1. Juli 2011</w:t>
      </w:r>
    </w:p>
    <w:p>
      <w:r>
        <w:t>Bundesverwaltungsgericht, 2011-07-01, DE</w:t>
      </w:r>
    </w:p>
    <w:p>
      <w:r>
        <w:rPr>
          <w:b/>
        </w:rPr>
        <w:t xml:space="preserve">Quelle: </w:t>
      </w:r>
      <w:r>
        <w:t>https://mcp.opencaselaw.ch/entscheid/bvger_A-6925_2010</w:t>
      </w:r>
    </w:p>
    <w:p>
      <w:r>
        <w:t>FR: TAF A-6925/2010 du 1 juillet 2011</w:t>
      </w:r>
    </w:p>
    <w:p>
      <w:r>
        <w:t>IT: TAF A-6925/2010 del 1 luglio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(Urteil des Bundesgerichts 2C_642/2007 vom 3. März 2008 E. 2.2, mit Hinweisen; Urteil des Bundesverwaltungsgerichts A-7604/2008 vom 6. Februar 2010 E. 1.4). Streitgegenstand bildet vorliegend einzig die Frage, ob in den an den IRS zu übermittelnden Unterlagen gewisse Namen abzudecken sind. Dass Amtshilfe zu leisten ist, liegt demgegenüber nicht im Streit.</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1.5</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w:t>
      </w:r>
    </w:p>
    <w:p>
      <w:r>
        <w:rPr>
          <w:b/>
        </w:rPr>
        <w:t>E. 2.1.1</w:t>
      </w:r>
    </w:p>
    <w:p>
      <w:r>
        <w:t>Beim Staatsvertrag 10 handelt es sich um einen selbständigen völker­rechtlichen Vertrag, der mit dem DBA-USA 96 auf gleicher Stufe steht (BVGE 2010/40 E. 6.2.2; Urteile des Bundesverwaltungsgerichts A 6176/2010 vom 18. Januar 2011 E. 2.2, A 6053/2010 vom 10. Januar 2011 E. 4).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BVGE 2010/40 E. 6.2.2; Urteil des Bun­desver­waltungsgerichts A 6053/2010 vom 10. Januar 2011 E. 4).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(anstelle zahlreicher: Urteile des Bundesverwaltungsgerichts A 6792/2010 vom 4. Mai 2011 E. 5.1, A 6053/2010 vom 10. Januar 2011 E. 4, A-4911/2010 vom 30. No­vem­ber 2010 E. 3).</w:t>
      </w:r>
    </w:p>
    <w:p>
      <w:r>
        <w:rPr>
          <w:b/>
        </w:rPr>
        <w:t>E. 2.1.2</w:t>
      </w:r>
    </w:p>
    <w:p>
      <w:r>
        <w:t>Gemäss Art. 26 DBA-USA 96 tauschen die zuständigen Behörden diejenigen Auskünfte aus, die notwendig sind für die Verhütung von Betrugsdelikten und dergleichen. Mit dem Staatsvertrag 10 hat sich die Schweiz gegenüber den USA verpflichtet, auch in Fällen von schwerer Steuerhinterziehung Amtshilfe zu leisten (Urteil des Bundesverwaltungsgerichts A-4013/2013 vom 15. Juli 2010 E. 8.1). Damit umfasst der Ausdruck «Betrugsdelikte und dergleichen» in Art. 26 DBA-USA 96 für den Informationsaustausch gemäss dem Staatsvertrag 10 auch die schwere Steuerhinterziehung, sofern die Kriterien im Anhang zum Staatsvertrag 10 in Ziff. 2 Bst. A/b und Bst. B/b erfüllt sind. Die dabei geltenden Grundsätze finden folglich gleichermassen Anwendung auf die im Anhang zum Staatsvertrag 10 vorgesehenen Fälle der schweren Steuerhinterziehung.</w:t>
      </w:r>
    </w:p>
    <w:p>
      <w:r>
        <w:rPr>
          <w:b/>
        </w:rPr>
        <w:t>E. 2.2.1</w:t>
      </w:r>
    </w:p>
    <w:p>
      <w:r>
        <w:t>Gemäss höchstrichterlicher Rechtsprechung gelangen die Grund­sätze der internationalen Rechtshilfe in Strafsachen auch im Verfahren der Amtshilfe zur Anwendung (Urteil des Bundesgerichts 2A.608/2005 vom 10. August 2006 E. 3; vgl. auch Urteil des Bundesverwaltungsgerichts A 4013/2010 vom 15. Juli 2010 E. 7.2.1). Dazu gehört insbesondere der Grundsatz der Verhältnismässigkeit (Urteile des Bundesverwaltungsgerichts A 6638/2010 vom 9. Mai 2011 E. 6.2, A 6705/2010 vom 18. April 2011 E. 6.2.1, A-6933/2010 vom 17. März 2011 E. 10.1).</w:t>
      </w:r>
    </w:p>
    <w:p>
      <w:r>
        <w:rPr>
          <w:b/>
        </w:rPr>
        <w:t>E. 2.2.2</w:t>
      </w:r>
    </w:p>
    <w:p>
      <w:r>
        <w:t>Das Verhältnismässigkeitsprinzip bedeutet für den Umfang der Amts- und Rechts­­hilfe zum einen, dass die ersuchte Behörde nicht über das Rechts- oder Amtshilfeersuchen hinausgehen darf. Dabei ist sie aller­dings nicht an den Wortlaut des Ersu­chens gebunden, sondern hat die­ses in dem Sinn auszulegen, der ihm sinnvollerweise zugeschrieben wer­den kann. Nach der bundesgerichtlichen Praxis spricht nichts gegen eine weite Auslegung des Ersu­chens, wenn sämtliche Voraussetzungen zur Gewährung von Rechtshilfe erfüllt sind und auf diese Weise allfällige Nachtragsersuchen vermieden werden können (BGE 121 II 241 E. 3a; Urteil des Bundesgerichts 1A.269/2005 vom 2. Dezember 2005 E. 4). Es dürfen daher unter Umstän­den selbst Informationen und Dokumente übermittelt werden, welche im Ersuchen nicht ausdrücklich erwähnt wor­den sind (BGE 121 II 241 E. 3b; Urteil des Bundesverwaltungsge­richts A 6933/2010 vom 17. März 2011 E. 10.1). Zum andern müssen die angeord­neten Massnahmen für das ausländi­sche Verfahren erforderlich erschei­nen. Dabei darf die ersuchte Behörde jedoch nicht ihr Ermessen an die Stelle desjenigen der ersuchenden Be­hörde stellen (BGE 121 II 241 E. 3a). Gemäss Rechtsprechung genügt daher die potentielle Erheblichkeit der angeordneten Massnah­men. Den ausländischen Behörden sind diejenigen Informationen zu übermitteln, die sich möglicherweise auf den im Rechts- oder Amtshilfe­ersuchen dargestellten Sachverhalt beziehen können. Nicht zu übermit­teln sind nur diejenigen Akten, die für das ausländische Verfahren mit Sicherheit nicht erheblich sind (BGE 127 II 142 E. 5a, BGE 122 II 367 E. 2c; Urteile des Bundes­gerichts 1A.7/2007 vom 3. Juli 2007 E. 7.2, 1A.269/2005 vom 2. Dezem­ber 2005 E. 4; Urteile des Bundesverwaltungsgerichts A 6705/2010 vom 18. April 2011 E. 6.2.1, A-6933/2010 vom 17. März 2011 E. 10.2).</w:t>
      </w:r>
    </w:p>
    <w:p>
      <w:r>
        <w:rPr>
          <w:b/>
        </w:rPr>
        <w:t>E. 2.2.3</w:t>
      </w:r>
    </w:p>
    <w:p>
      <w:r>
        <w:t>Bezüglich Daten Dritter bedeutet der Verhältnismässigkeitsgrundsatz, dass die Namen von Dritten, die offensichtlich nichts mit den vorgeworfenen Handlungen zu tun haben, im Bereich der Amtshilfe in Steuersachen nicht an den IRS übermittelt werden sollen (Urteile des Bundesverwaltungsgerichts A 6932/2010 vom 27. April 2011 E. 6.2.1, A 6933/2010 vom 17. März 2011 E. 10.2, mit weiteren Hinweisen).</w:t>
      </w:r>
    </w:p>
    <w:p>
      <w:r>
        <w:rPr>
          <w:b/>
        </w:rPr>
        <w:t>E. 2.3</w:t>
      </w:r>
    </w:p>
    <w:p>
      <w:r>
        <w:t>Weder der Staats­ver­trag 10 noch das DBA-USA 96 noch die Vo DBA-USA enthalten explizite Bestimmungen, wer als «un­beteiligter Dritter» gilt. Somit sind auch diesbezüglich die einschlägigen Grund­sätze über die internationale Rechts­hilfe heranzuziehen (vgl. E. 2.1.1). 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BGE 112 Ib 462 E. 2b, BGE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Auch Personen und Gesellschaften, die an der Übermittlung von Schmiergeldern mitgewirkt hätten, seien nicht als unbeteiligte Dritte zu qualifizieren (BGE 112 Ib 462 E. 2b, BGE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An­ge­sichts der Anwendbarkeit dieser Grundsätze auf das Amts­hilfe­verfahren (vgl. E. 2.2.1; vgl. auch Urteile des Bundesverwaltungsgerichts A 6932/2010 vom 27. April 2011 E. 6.2.3, A 6930/2010 vom 9. März 2011 E. 6.1, A 6176/2010 vom 18. Januar 2011 E. 2.4.3) folgt zudem, dass der an einer "offshore company" wirtschaftlich Berechtigte grundsätzlich nicht als unbe­teiligter Dritter gelten kann (vgl. Urteil des Bundesverwaltungsgerichts A 6176/2010 vom 18. Januar 2011 E. 3.2.2).</w:t>
      </w:r>
    </w:p>
    <w:p>
      <w:r>
        <w:rPr>
          <w:b/>
        </w:rPr>
        <w:t>E. 2.4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E. 3.1 hiervor)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Bundesverwaltungsgerichts A 6176/2010 vom 18. Januar 2011 E. 2.5, A-6705/2010 vom 18. April 2011 E. 5.2, A-6932/2010 vom 27. April 2011 E. 5.2).</w:t>
      </w:r>
    </w:p>
    <w:p>
      <w:r>
        <w:rPr>
          <w:b/>
        </w:rPr>
        <w:t>E. 3.1</w:t>
      </w:r>
    </w:p>
    <w:p>
      <w:r>
        <w:t>Vorliegend verlangt der Beschwerdeführer die Streichung der Angaben über die "künftigen Beneficiaries" des Y._______ Trusts. Dem­zufolge seien Namen und Hinweise betreffend die Eheleute A._______ und deren Kinder in einem sich bei den Bankunterlagen befindlichen Brief (Paginiernummer ...) zu streichen. Der Y._______ Trust sei ein revocable (widerruflicher) Trust. Er - der Beschwerdeführer - habe den Trust einzig aus dem Grund gegründet, seinen Nachlass zu regeln. In der "Trust Deed" werde in Ziffer 16.1 (a) ausdrücklich der "Settlor", also der Beschwerdeführer, als "Beneficiary" genannt. Ziffer 16.1 (b) überlasse es der "discretion" des Trustees, weitere "Beneficiary" zu bestimmen. Der "letter of wishes" gebe diesbezüglich klar vor, wer am Trustvermögen berechtigt sei. Zu Lebzeiten sei dies alleine der Settlor, nach seinem Tod sein Freund B._______ [Vorname] A._______ [Nachname] bzw. dessen Ehefrau C._______ [Vorname] A._______ [Nachname] und nach deren Ableben die Kinder der Ehegatten A._______. Die zu streichenden Namen würden lediglich in einem Brief "eines UBS-nahen Anwalts" an die Z._______ (Trustee) erwähnt, in welchem auf die Testamentsfolge bzw. die Berechtigung am Trust nach dem Tod des Settlors hingewiesen werde. Selbst in den Bankunterlagen würden diese Personen jedoch in keiner Weise als "BO" bezeichnet oder geführt; genannt werde hier lediglich der Beschwerdeführer. Die A._______s seien demzufolge keine aktuellen "beneficial owner" der Vermögenswerte gewesen und hätten auch sonst keinen steuerlichen Bezug zu diesem Trust. Sie seien höchstens künftige, potenzielle "beneficial owners", aber selbst dies sei nicht sicher gewesen, da er als "Settlor" jederzeit einen neuen "letter of wishes" hätte schreiben und ihre Begünstigung hätte widerrufen können. Da sich ein Amtshilfeverfahren immer auf einen konkreten Fall beziehe, sei ausgeschlossen, dass Informationen geliefert würden, die nicht diesen Fall, sondern einen zukünftigen (und sogar unsicheren) Sachverhalt betreffen würden. Überdies sei der Trust per ... 2010 liquidiert worden, weshalb es zwischenzeitlich ohnehin keine künftigen Beneficiaries mehr gebe.</w:t>
      </w:r>
    </w:p>
    <w:p>
      <w:r>
        <w:rPr>
          <w:b/>
        </w:rPr>
        <w:t>E. 3.2</w:t>
      </w:r>
    </w:p>
    <w:p>
      <w:r>
        <w:t>Die Vorinstanz hält demgegenüber fest, dass "(künftige) beneficiaries" nicht als unbeteiligte Dritte angesehen werden könnten, da es sich dabei nicht um Personen handle, welche in keiner Weise mit der dem Ersuchen zugrunde liegenden Straftat ("fortgesetzte und schwere Steuerdelikte") verbunden zu sein schienen. Daran vermöge auch der Umstand, dass der Y._______ Trust in der Zwischenzeit aufgelöst worden sei, nichts zu ändern; massgebend sei einzig der Zeitraum zwischen 2001 und 2008. Im Übrigen sei gemäss dem Prinzip der Spezialität ohnehin davon auszugehen, dass die amerikanischen Steuerbehörden die amtshilfeweise übermittelten Informationen dem Abkommen und den allgemeinen Grundsätzen entsprechend nur in Bezug auf den Beschwerdeführer verwenden würden. Soweit es in einem allfälligen Verfahren in den USA um Fragen gehen sollte, die mit den Steuern, die unter das Abkommen fielen und für die Amtshilfe geleistet worden sei, nichts zu tun hätten, könne den Betroffenen sodann zugemutet werden, dass sie entsprechende Einwendungen in jenem Verfahren erheben würden.</w:t>
      </w:r>
    </w:p>
    <w:p>
      <w:r>
        <w:rPr>
          <w:b/>
        </w:rPr>
        <w:t>E. 3.3.1</w:t>
      </w:r>
    </w:p>
    <w:p>
      <w:r>
        <w:t>Einigkeit herrscht zwischen den Parteien darüber, dass die Personen, deren Namen gemäss dem Antrag des Beschwerdeführers in den zu übermittelnden Unterlagen zu schwärzen seien, im relevanten Zeitraum weder als (aktuell) Begünstigte des Trusts noch als wirtschaftlich Berechtigte galten. Eine solche Begünstigung bzw. Berechtigung wäre denn auch aus den Akten nicht ersichtlich. Die umstrittenen Namen werden offenbar lediglich im vorliegend zur Diskussion stehenden Brief erwähnt, gemäss welchem es sich bei den Ehegatten A._______ und deren Kinder um "des bénéficaires après le décès du client", also um Begünstigte nach dem Tod des Beschwerdeführers handelt (vgl. Paginiernummer ...). Nichts anderes ergibt sich überdies aus der "Trust Deed" und aus dem "letter of wishes" (vgl. Beilage 2 zur Stellungnahme des Beschwerdeführers vor der Vorinstanz). Weder im einen noch im anderen Dokument werden die Ehegatten A._______ bzw. deren Kinder als (dazumal aktuelle) beneficiaries genannt. Im "letter of wishes" hält der Beschwerdeführer lediglich fest, dass die Einkünfte und das Kapital des Trusts nach seinem Tod an B._______ A._______ bzw. wenn dieser vorverstorben sei, an dessen Ehefrau C._______ A._______ und nach dem Ableben beider, an deren Nachkommen auszuschütten seien.</w:t>
      </w:r>
    </w:p>
    <w:p>
      <w:r>
        <w:rPr>
          <w:b/>
        </w:rPr>
        <w:t>E. 3.3.2</w:t>
      </w:r>
    </w:p>
    <w:p>
      <w:r>
        <w:t>Es stellt sich damit einzig die Frage, ob die genannten Personen als potentielle "beneficiaries" unbeteiligte Dritte sind und ihre Daten folglich nicht an den IRS übermittelt werden dürfen. Dies ist zu bejahen. Die künftigen beneficiaries scheinen vorliegend in keiner Weise mit der dem Ersuchen zugrunde liegenden Straftat ("fortgesetzte und schwere Steuerdelikte") verbunden zu sein. Zwar bestand zwischen dem Beschwerdeführer und den genannten Personen im vorliegend relevanten Zeitraum zwischen 2001 und 2008 (vgl. dazu E. B) eine gewisse Beziehung bzw. Verbindung, da er ihnen die Einkünfte und das Vermögen des Trusts nach seinem Tod vermachen wollte, doch kann deshalb nicht davon ausgegangen werden, dass zwischen den Eheleuten A._______ bzw. deren Kindern und einer Tatsache, die Merkmal eines fortgesetzten und schweren Steuerdelikts ist, eine wirk­liche und unmittelbare Beziehung besteht (vgl. E. 2.3). Die A._______s hatten im relevanten Zeitraum, in welchem die Steuerdelikte begangen worden sein sollen, weder irgendwelche Berechtigungen am Trust, noch irgendwelche diesbezüglichen Entscheidungsbefugnisse. Auch ergeben sich aus den Akten keinerlei Anhaltspunkte dafür, dass die Eheleute A._______ bzw. deren Kinder von dem vorliegend betroffenen Konto jemals Geld bezogen oder erhalten hätten. Dies wird denn selbst von der ESTV nicht behauptet. Daneben deutet auch sonst nichts darauf hin, dass die A._______s mit den dem Beschwerdeführer vorgeworfenen "fortgesetzten und schweren Steuerdelikten" irgendwie in Beziehung stünden, was im Sinne der Rechtsprechung auf einen Bezug zur Straftat hindeuten würde (vgl. E. 2.3). Die A._______s haben offensichtlich nichts mit den vorgeworfenen Handlungen zu tun (vgl. dazu E. 2.2.3). Alleine aus dem Umstand, dass die genannten Personen vielleicht zu einem späteren Zeitpunkt - wenn der Trust bis dahin nicht widerrufen worden wäre - "beneficiaries" des Y._______ Trusts hätten werden können, reicht nicht aus, um von einer Verbindung dieser Personen zur vorliegend zur Diskussion stehenden Straftat ausgehen zu können. Dem Schluss der Vorinstanz, dass aufgrund des Umstandes, dass ein "beneficial owner" kein unbeteiligter Dritter sei (vgl. dazu auch E. 2.3), dies auch für "(künftige) beneficiaries" gelten müsse, kann demzufolge nicht gefolgt werden. Im Gegensatz zum "beneficial owner" konnten die vorliegend zur Diskussion stehenden Personen weder auf den Trust noch auf das Konto irgendwelchen Einfluss ausüben. Demzufolge handelt es sich bei den genannten Personen um unbeteiligte Dritte, deren Angaben nicht an den IRS zu übermitteln sind Daran vermag auch der Hinweis auf das Spezialitätsprinzip nichts zu ändern (vgl. E. 2.2.3, E. 2.5), das selbstverständlich und ohnehin Gültigkeit beansprucht.</w:t>
      </w:r>
    </w:p>
    <w:p>
      <w:r>
        <w:rPr>
          <w:b/>
        </w:rPr>
        <w:t>E. 4</w:t>
      </w:r>
    </w:p>
    <w:p>
      <w:r>
        <w:t>Nach dem Gesagten ist die Beschwerde gutzuheissen. Der Brief vom ... (Paginiernummer ...) ist entsprechend dem Antrag des Beschwerdeführers im Sinn der Erwägung­en zu anonymisieren. Ausgangsgemäss wird auf die Erhebung von Gerichtskosten verzichtet (Art. 63 Abs. 1 und 2 VwVG) und der bereits geleistete Kostenvorschuss zurückerstattet. Dem Beschwerdeführer ist eine angemessene Parteientschädigung zuzusprechen (Art. 64 Abs. 1 VwVG), die angesichts der Schwierigkeit des Falles und des geschätzten Aufwandes des Beschwerdeführers auf Fr. 4'000.- festzusetzen ist.</w:t>
      </w:r>
    </w:p>
    <w:p>
      <w:r>
        <w:rPr>
          <w:b/>
        </w:rPr>
        <w:t>E. 5</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