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A-689/2012 vom 31. Mai 2012</w:t>
      </w:r>
    </w:p>
    <w:p>
      <w:r>
        <w:t>Bundesverwaltungsgericht, 2012-05-31, DE</w:t>
      </w:r>
    </w:p>
    <w:p>
      <w:r>
        <w:rPr>
          <w:b/>
        </w:rPr>
        <w:t xml:space="preserve">Quelle: </w:t>
      </w:r>
      <w:r>
        <w:t>https://mcp.opencaselaw.ch/entscheid/bvger_A-689_2012</w:t>
      </w:r>
    </w:p>
    <w:p>
      <w:r>
        <w:t>FR: TAF A-689/2012 du 31 mai 2012</w:t>
      </w:r>
    </w:p>
    <w:p>
      <w:r>
        <w:t>IT: TAF A-689/2012 del 31 maggio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VwVG, sofern keine Ausnahme nach Art. 32 VGG gegeben ist. Eine solche liegt nicht vor und die Vorinstanz ist eine Behörde im Sinne von Art. 33 VGG. Das Bundesverwaltungsgericht ist daher für die Beurteilung der vorliegenden Beschwerde zuständig. Auf die im Übrigen frist- und nach Verbesserung formgerecht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2006 bis 2009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A-4360/2008 und A-4415/2008 vom 4. März 2010 E. 1.2).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(Urteil des Bundesverwaltungsgerichts A-1605/2006 vom 4. März 2010 E. 1.5).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mehr (vgl. aber E. 1.2).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(Urteil des Bundesgerichts 9C_267/2007 vom 4. September 2007 E. 1.3; Urteile des Bundesverwaltungsgerichts A-2690/2011 vom 24. Januar 2012 E. 2.1.2, A-2998/2009 vom 11. November 2010 E. 2.1.3, A-3123/2008 vom 27. April 2010 E. 2.1.3).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 des Bundesverwaltungsgerichts A-2998/2009 vom 11. November 2010 E. 2.1.3; vgl. auch statt vieler Urteile des Bundesverwaltungsgerichts A 1597/2006 und A-1598/2006 vom 17. August 2009 E. 4.1, A-1506/2006 vom 3. Juni 2008 E. 2.3.1, A-3069/2007 vom 29. Januar 2008 E. 1.2; Ernst Blumenstein/Peter Locher, System des schweizerischen Steuerrechts, 6. Aufl., Zürich 2002, S. 454).</w:t>
      </w:r>
    </w:p>
    <w:p>
      <w:r>
        <w:rPr>
          <w:b/>
        </w:rPr>
        <w:t>E. 2.2</w:t>
      </w:r>
    </w:p>
    <w:p>
      <w:r>
        <w:t>Der Mehrwertsteuer unterliegen insbesondere die Umsätze, die durch steuerpflichtige Personen im Inland mit entgeltlich erbrachten Lieferungen von Gegenständen und Dienstleistungen getätigt werden (Art. 5 Bst. a und b aMWSTG). 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Spezialbroschüren Nr. 02, Steuerpflicht bei der Mehrwertsteuer, vom September 2000 sowie vom Dezember 2007, je Ziff. 2.2.3). Für bestehende Betriebe, bei welchen im Zeitpunkt der Aufnahme der Tätigkeit keine Steuerpflicht gegeben war, beginnt die Steuerpflicht am 1. Januar, wenn im vorangehenden Jahr die oben erwähnten Betragsgrenzen kumulativ überschritten worden sind (Art. 28 Abs. 1 aMWSTG). Massgebend für die Steuerpflicht ist das aufgewendete Entgelt des Vorjahres (Urteil des Bundesverwaltungsgerichts A 2149/2008 und A-2170/2008 vom 17. Mai 2010 E. 3.2).</w:t>
      </w:r>
    </w:p>
    <w:p>
      <w:r>
        <w:rPr>
          <w:b/>
        </w:rPr>
        <w:t>E. 2.3</w:t>
      </w:r>
    </w:p>
    <w:p>
      <w:r>
        <w:t>Die Veranlagung und Entrichtung der Mehrwertsteuer erfolgt nach dem Selbstveranlagungsprinzip (Art. 46 f. aMWSTG; Blumenstein/Locher,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A-2149/2008 und A-2170/2008 vom 17. Mai 2010 E. 3.1, A-8485/2007 vom 22. Dezember 2009 E. 2.2, A 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A-2690/2011 vom 24. Januar 2012 E. 2.4, A-1447/2010 vom 11. November 2011 E. 2.3, A-2998/2009 vom 11. November 2010 E. 2.4 mit Hinweisen).</w:t>
      </w:r>
    </w:p>
    <w:p>
      <w:r>
        <w:rPr>
          <w:b/>
        </w:rPr>
        <w:t>E. 2.4.1</w:t>
      </w:r>
    </w:p>
    <w:p>
      <w:r>
        <w:t>Zu den Obliegenheiten der steuerpflichtigen Person gehört insbesondere die Buchführung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A-2690/2011 vom 24. Januar 2012 E. 2.5.2, A-2998/2009 vom 11. November 2010 E. 2.5.2, A-5875/2009 vom 16. Juni 2010 E. 3.2.1).</w:t>
      </w:r>
    </w:p>
    <w:p>
      <w:r>
        <w:rPr>
          <w:b/>
        </w:rPr>
        <w:t>E. 2.4.3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neu herausgegeben per 1. Januar 2001 sowie per 1. Januar 2008 als Wegleitung 2008 zur Mehrwertsteuer) Gebrauch gemacht. In den - vorliegend einschlägigen - Wegleitungen 2001 und 2008 sind genauere Angaben enthalten, wie eine derartige Buchhaltung auszugestalten ist (je Rz. 878 ff.). Alle Geschäftsvorfälle müssen fortlaufend, chronologisch und lückenlos aufgezeichnet werden (je Rz. 884 f.)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Urteil des Bundesgerichts 2A.297/2005 vom 3. Februar 2006 E. 3.1; Urteil des Bundesverwaltungsgerichts A-1447/2010 vom 11. November 2011 E. 2.4.3).</w:t>
      </w:r>
    </w:p>
    <w:p>
      <w:r>
        <w:rPr>
          <w:b/>
        </w:rPr>
        <w:t>E. 2.4.4</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 1406/2006 vom 30. Januar 2008 E. 2.2 mit weiteren Hinweisen).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2A.657/2005 vom 9. Juni 2006 E. 3; Urteile des Bundesverwaltungsgerichts A 2690/2011 vom 24. Januar 2012 E. 2.5.4, A 2998/2009 vom 11. November 2010 E. 2.5.4 mit weiteren Hinweisen).</w:t>
      </w:r>
    </w:p>
    <w:p>
      <w:r>
        <w:rPr>
          <w:b/>
        </w:rPr>
        <w:t>E. 2.5.1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2.5.2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A-1447/2010 vom 11. November 2011 E. 2.5.2, A-4450/2010 vom 8. September 2011 E. 4.1, A-2998/2009 vom 11. November 2010 E. 2.6.2).</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A-3678/2007 und A 3680/2007 vom 18. August 2009 E. 3.2).</w:t>
      </w:r>
    </w:p>
    <w:p>
      <w:r>
        <w:rPr>
          <w:b/>
        </w:rPr>
        <w:t>E. 2.6.2</w:t>
      </w:r>
    </w:p>
    <w:p>
      <w:r>
        <w:t>Die Vornahme der Schätzung nach pflichtgemässem Ermessen bedeutet insbesondere, dass die ESTV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 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A-4450/2010 vom 8. September 2011 E. 4.2, A 2184/2008 und A 2185/2008 vom 3. Juni 2010 E. 5.1, A 705/2008 vom 12. April 2010 E. 2.6.2; vgl. auch Mollard, a.a.O., S. 530 ff.). Die brauchbaren Teile der Buchhaltung und allenfalls vorhandene Belege sind soweit als möglich bei der Schätzung mitzuberücksichtigen. Sie können durchaus als Basiswerte der Ermessenstaxa­tion fungieren (Urteile des Bundesverwaltungsgerichts A 4360/2008 und A 4415/2008 vom 4. März 2010 E. 2.5.2, A-1578/2006 vom 2. Oktober 2008 E. 4.2; Hans Gerber, Die Steuerschätzung [Veranlagung nach Ermessen], veröffentlicht in StR 1980 S. 307).</w:t>
      </w:r>
    </w:p>
    <w:p>
      <w:r>
        <w:rPr>
          <w:b/>
        </w:rPr>
        <w:t>E. 2.6.3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A-2950/2011 vom 8. Februar 2012 E. 2.5.3, A-1447/2010 vom 11. November 2011 E. 2.6.3, A-2998/2009 vom 11. November 2010 E. 2.7.3, A 5875/2009 vom 16. Juni 2010 E. 3.6.2).</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 3678/2007 und A-3680/2007 vom 18. August 2009 E. 3.1, 4.2).</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 des Bundesverwaltungsgerichts A-3123/2008 vom 27. April 2010 E. 2.8.2).</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 zum Ganzen: Urteile des Bundesverwaltungsgerichts A-5166/2011 vom 3. Mai 2012 E. 2.8.4, A 2690/2011 vom 24. Januar 2012 E. 2.8.4, A-2998/2009 vom 11. November 2010 E. 2.8.3).</w:t>
      </w:r>
    </w:p>
    <w:p>
      <w:r>
        <w:rPr>
          <w:b/>
        </w:rPr>
        <w:t>E. 2.8.1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2.8.2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A-2184/2008 und A-2185/2008 vom 3. Juni 2010 E. 5.2, A-4309/2008 vom 30. April 2010 E. 2.2, A-3678/2007 und A-3680/2007 vom 18. August 2009 E. 5). Diese Praxis wurde vom Bundesgericht bestätigt (Urteil des Bundesgerichts 2C_426/2007 vom 22. November 2007 E. 4.3).</w:t>
      </w:r>
    </w:p>
    <w:p>
      <w:r>
        <w:rPr>
          <w:b/>
        </w:rPr>
        <w:t>E. 2.8.3</w:t>
      </w:r>
    </w:p>
    <w:p>
      <w:r>
        <w:t>Für das Vorliegen der Voraussetzungen zur Vornahme einer Ermessenseinschätzung ist nach den allgemeinen Beweislastregeln die ESTV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2.5.2) habe sich verwirklicht, so ist gemäss der objektiven Beweislastregel zu Ungunsten der ESTV zu entscheiden (vgl. Urteile des Bundesverwaltungsgerichts A 5166/2011 vom 3. Mai 2012 E. 2.10.3, A 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Urteile des Bundesverwaltungsgerichts A-5460/2008 vom 12. Mai 2010 E. 2.5.4, A-1578/2006 vom 2. Oktober 2008 E. 5.3).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Urteile des Bundesverwaltungsgerichts A 2690/2011 vom 24. Januar 2012 E. 2.9.3, A-5110/2011 vom 23. Januar 2012 E. 2.8.3, A-3123/2008 vom 27. April 2010 E. 2.9.3).</w:t>
      </w:r>
    </w:p>
    <w:p>
      <w:r>
        <w:rPr>
          <w:b/>
        </w:rPr>
        <w:t>E. 2.9</w:t>
      </w:r>
    </w:p>
    <w:p>
      <w:r>
        <w:t>Aus dem Gebot der Gewährung des rechtlichen Gehörs - und damit nicht nur aus Art. 33 Abs. 1 VwVG, sondern auch aus Art. 29 Abs. 2 BV - folgt im Weiteren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Bundesverwaltungsgerichts A-2690/2011 vom 24. Januar 2012 E. 2.10, A 2998/2009 vom 11. November 2010 E. 2.2.3, A-2149/2008 und A 2170/2008 vom 17. Mai 2010 E. 2.3).</w:t>
      </w:r>
    </w:p>
    <w:p>
      <w:r>
        <w:rPr>
          <w:b/>
        </w:rPr>
        <w:t>E. 3</w:t>
      </w:r>
    </w:p>
    <w:p>
      <w:r>
        <w:t>Im vorliegenden Fall hat die ESTV den Umsatz des Beschwerdeführers ermessensweise ermittelt. In einem ersten Schritt ist darüber zu befinden, ob die ESTV zu Recht das Vorliegen der Voraussetzungen für eine Ermessenseinschätzung bejaht hat (E. 3.1). Erst und nur falls dies zutrifft, gilt es in einem zweiten Schritt zu überprüfen, ob sich die Ermessensveranlagung in ihrer Höhe als korrekt erweist (E. 3.2 und 3.3).</w:t>
      </w:r>
    </w:p>
    <w:p>
      <w:r>
        <w:rPr>
          <w:b/>
        </w:rPr>
        <w:t>E. 3.1.1</w:t>
      </w:r>
    </w:p>
    <w:p>
      <w:r>
        <w:t>Die ESTV begründet die Vornahme der Ermessensveranlagung mit dem Umstand, der Beschwerdeführer habe sich in den Jahren 2006 bis 2009 darauf beschränkt, die an ihn gestellten Rechnungen zu sammeln und Listen der Tageseinnahmen zu führen sowie rudimentäre Aufstellungen der Einnahmen und Ausgaben zu erstellen. Da er die Tageseinnahmen lediglich aufgelistet und die verschiedenen Ausgaben in einer Aufstellung als Sammelposten erfasst habe, könne von der Möglichkeit der Verfolgung einzelner Geschäftsfälle - auch lediglich stichprobenweise - sowohl vom Einzelbeleg über die Buchhaltung bis zur Mehrwertsteuerabrechnung als auch in umgekehrter Richtung keine Rede sein. Eine Überprüfung der vom Beschwerdeführer eingereichten Buchhaltungsunterlagen (amtl. Akten Nr. 20) ergibt, dass er insbesondere kein fortlaufendes Kassabuch mit Bareinnahmen und -ausgaben geführt hat. Nach der Rechtsprechung war er indessen gehalten, durch geeignete Massnahmen periodisch zu überprüfen, ob er die Voraussetzungen der Steuerpflicht erfüllt (E. 2.4.2). Zu beachten ist in diesem Zusammenhang, dass der vorliegende Taxibetrieb einen bargeldintensiven Betrieb darstellt (vgl. Urteile des Bundesverwaltungsgerichts A 2998/2009 vom 11. November 2010 E. 3.2.1, A-281/2009 vom 14. Oktober 2010 E. 6.1.2, A-2149/2008 und A 2170/2008 vom 17. Mai 2010 E. 6.1.2), weshalb für diese Prüfung die Führung eines tagfertigen Kassabuches zwingend erforderlich ist. Die Bareinnahmen und Barausgaben müssen in diesem fortlaufend, lückenlos und zeitnah aufgezeichnet und durch Kassenstürze kontrolliert werden (E. 2.4.4; vgl. auch Urteil des Bundesgerichts 2A.109/2005 vom 10. März 2006 E. 2.2 und E. 4.3 sowie Urteil des Bundesverwaltungsgerichts A-1447/2010 vom 11. November 2011 E. 3.1 mit insoweit ähnlicher Sachverhaltskonstellation). Bereits aufgrund des Fehlens eines solchen Kassabuches ist die Buchführung des Beschwerdeführers mangelhaft. Es fehlen die sachverhaltsmässigen Grundlagen zur Beantwortung der Frage, ob eine Steuerpflicht gegeben ist. Bei diesem Resultat erübrigt es sich, auf die weiteren von der ESTV genannten Gründe für die Vornahme der Ermessenseinschätzung einzugehen.</w:t>
      </w:r>
    </w:p>
    <w:p>
      <w:r>
        <w:rPr>
          <w:b/>
        </w:rPr>
        <w:t>E. 3.1.2</w:t>
      </w:r>
    </w:p>
    <w:p>
      <w:r>
        <w:t>Der Beschwerdeführer wendet dagegen ein, die Steuerverwaltung des Kantons Basel-Stadt habe seine Buchhaltung immer akzeptiert. Überhaupt sei gesetzlich eine Buchführungspflicht erst mit einem Handelsregistereintrag vorgeschrieben. Diesen Einwänden kann das Bundesverwaltungsgericht nicht folgen. Einerseits ist der Hinweis des Beschwerdeführers auf die Beurteilung der Buchhaltung durch die kantonale Steuerbehörde irrelevant. Für die mehrwertsteuerliche Betrachtung ist die Rechtslage im Bereich der direkten Steuern grundsätzlich nicht massgebend. Es handelt sich um verschieden geartete Steuersysteme und den beiden Steuerarten liegen unterschiedliche Besteuerungsziele zugrunde (BGE 123 II 295 E. 6b; Urteil des Bundesgerichts 2A.222/2002 vom 4. September 2002 E. 3.4; BVGE 2007/23 E. 2.3.3; Urteile des Bundesverwaltungsgerichts A 2998/2009 vom 11. November 2010 E. 3.2.1, A 2690/2011 vom 24. Januar 2012 E. 3.1). Andererseits wurde bereits ausgeführt, dass noch nicht mehrwertsteuerpflichtige Unternehmerinnen und Unternehmer gehalten sind, durch geeignete Massnahmen periodisch zu überprüfen, ob sie der Mehrwertsteuerpflicht unterliegen (E. 3.1.1). Dazu ist vorliegend zwingend ein tagfertiges Kassabuch erforderlich. Dies unabhängig davon, ob der Beschwerdeführer im Handelsregister eingetragen ist oder nicht.</w:t>
      </w:r>
    </w:p>
    <w:p>
      <w:r>
        <w:rPr>
          <w:b/>
        </w:rPr>
        <w:t>E. 3.1.3</w:t>
      </w:r>
    </w:p>
    <w:p>
      <w:r>
        <w:t>Aufgrund der mangelhaften Buchhaltung waren die Voraussetzungen für eine Ermessenseinschätzung demnach gegeben (E. 2.5) und die ESTV war nicht nur berechtigt, sondern auch verpflichtet, eine solche durchzuführen.</w:t>
      </w:r>
    </w:p>
    <w:p>
      <w:r>
        <w:rPr>
          <w:b/>
        </w:rPr>
        <w:t>E. 3.2</w:t>
      </w:r>
    </w:p>
    <w:p>
      <w:r>
        <w:t>Zu prüfen ist nun, ob die von der ESTV vorgenommene Ermessenseinschätzung den individuellen Verhältnissen des Beschwerdeführers soweit als möglich Rechnung trägt, auf plausiblen Angaben beruht und deren Ergebnis der wirklichen Situation möglichst nahe kommt (E. 2.6.2). Bereits ausgeführt wurde, dass das Bundesverwaltungsgericht bei dieser Prüfung nur dann sein eigenes Ermessen an die Stelle desjenigen der Vorinstanz setzt, wenn dieser erhebliche Ermessensfehler unterlaufen sind (E. 2.8.2). Die Beweislast für die Unrichtigkeit der Schätzung trägt der Beschwerdeführer (E. 2.8.3). Die vorliegende Ermessenseinschätzung lässt sich in zwei Teile gliedern: Die Schätzung der geschäftlich gefahrenen Kilometer einerseits und des Umsatzes pro Kilometer andererseits. Nachfolgend wird dementsprechend zuerst die Schätzung der geschäftlich gefahrenen Kilometer dargestellt (E. 3.2.1) und überprüft (E. 3.2.2 und 3.2.3) und anschliessend diejenige des Kilometeransatzes (E. 3.3).</w:t>
      </w:r>
    </w:p>
    <w:p>
      <w:r>
        <w:rPr>
          <w:b/>
        </w:rPr>
        <w:t>E. 3.2.1</w:t>
      </w:r>
    </w:p>
    <w:p>
      <w:r>
        <w:t>Die ESTV ermittelte die vom Beschwerdeführer gefahrenen Kilometer aufgrund der vorhandenen Fahrtenschreiberscheiben. Nach Angaben der ESTV belegen die Scheiben die folgende Anzahl gefahrener Kilometer: im Jahr 2006 47'317 km (für 307 Tage bzw. hochgerechnet auf 365 Tage 56'256 km), 2007 56'746 km, 2008 57'439 km und 2009 54'903 km. Nach Abzug der Pauschale von 100 km pro Arbeitswoche für private Zwecke, eines Arbeitsweges von insgesamt 6,8 km pro Arbeitstag (gemäss den Kontrollkarten arbeitete der Beschwerdeführer 2006 an 295, 2007 an 293, 2008 an 281 und 2009 an 275 Tagen) sowie nachgewiesener Ferienfahrten im Jahr 2008 von 3'810 km und im Jahr 2009 von 4'190 km resultierte die Anzahl geschäftlich gefahrener Kilometer. Für 2006 ging die ESTV von 49'050 km, für 2007 von 49'554 km, für 2008 von 47'018 km und für 2009 von 44'243 km aus.</w:t>
      </w:r>
    </w:p>
    <w:p>
      <w:r>
        <w:rPr>
          <w:b/>
        </w:rPr>
        <w:t>E. 3.2.2</w:t>
      </w:r>
    </w:p>
    <w:p>
      <w:r>
        <w:t>Der Beschwerdeführer bringt dagegen einzig noch vor, die von der ESTV akzeptierte Pauschale von 100 km pro Woche für private Fahrten sei bei ihm zu tief bemessen, da er ein weitverzweigtes Beziehungsnetz (mitunter auch im Ausland) aufweise. Private Fahrten könnten bei ihm 15'000 km oder mehr pro Jahr ausmachen. Im Weiteren sei es aufgrund der Fahrtenschreiberscheiben gar nicht möglich, zwischen privaten und geschäftlichen Fahrten zu unterscheiden. Zunächst ist der Beschwerdeführer darauf hinzuweisen, dass er als Taxichauffeur der Verordnung vom 6. Mai 1981 über die Arbeits- und Ruhezeit der berufsmässigen Führer von leichten Personentransportfahrzeugen und schweren Personenwagen (ARV 2 SR 822.222) untersteht (vgl. zum Geltungsbereich Art. 1 der Verordnung). Der Fahrtenschreiber ist gemäss Art. 15 Abs. 1 und 2 ARV 2 ständig in Betrieb zu halten und bei Privatfahrten ist die Pausenstellung (Stellung «0» oder «Stuhl») zu wählen. Lässt die Pausenstellung keine eindeutige Unterscheidung zwischen privaten und berufsmässigen Fahrten zu, so hat der Führer eine fortlaufende Kontrolle über die von ihm getätigten Privatfahrten zu führen (Art. 15 Abs. 2 ARV 2). Der Beschwerdeführer wäre demnach verpflichtet gewesen, seine privaten Fahrten klar zu deklarieren (vgl. auch Urteil des Bundesverwaltungsgerichts A-2690/2011 vom 24. Januar 2012 E. 3.4.1). Dies hat er bezüglich der von ihm behaupteten privaten Fahrten zu Bekannten und Verwandten nicht getan. Auch sonst hat er keine Nachweise dafür erbracht, wie oft er tatsächlich solche Fahrten unternommen hat und welche Strecken er dabei gefahren ist. Da der Beschwerdeführer die Beweislast für die Unrichtigkeit der Schätzung trägt (E. 2.8.3) und die blosse Behauptung, die Schätzung sei unrichtig, nicht genügt, ist nicht dargelegt, dass er für private Zwecke - neben den nachgewiesenen Ferienfahrten - mehr als 100 km pro Arbeitswoche gefahren ist. Im Übrigen erscheint diese für private Zwecke in Abzug gebrachte Anzahl Kilometer dem Gericht angemessen und entspricht auch dem Vorgehen der ESTV in anderen, ähnlich gelagerten Fällen (vgl. Urteil des Bundesverwaltungsgerichts A 2690/2011 vom 24. Januar 2012 E. 3.4.4 mit Hinweisen).</w:t>
      </w:r>
    </w:p>
    <w:p>
      <w:r>
        <w:rPr>
          <w:b/>
        </w:rPr>
        <w:t>E. 3.2.3</w:t>
      </w:r>
    </w:p>
    <w:p>
      <w:r>
        <w:t>Zusammenfassend erweist sich die von der ESTV vorgenommene Schätzung der Anzahl geschäftlich gefahrener Kilometer als rechtmässig. Die Ermittlung aufgrund der Fahrtenschreiberscheiben und die Berücksichtigung von privat gefahrenen Kilometern (Pauschale und Ferienfahrten, soweit belegt) sowie des individuellen Arbeitsweges beruht auf plausiblen Angaben und trägt den individuellen Verhältnissen des Beschwerdeführers Rechnung.</w:t>
      </w:r>
    </w:p>
    <w:p>
      <w:r>
        <w:rPr>
          <w:b/>
        </w:rPr>
        <w:t>E. 3.3</w:t>
      </w:r>
    </w:p>
    <w:p>
      <w:r>
        <w:t>Der Beschwerdeführer bestreitet den von der ESTV aufgrund ihrer Erfahrungswerte geschätzten Ansatz von Fr. 2.15 Umsatz/km. Zunächst ist daran zu erinnern,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2.8.3). Die ESTV hat ihm diesen Nachweis aber zu ermöglichen, indem sie ihm die Grund-lagen der Erfahrungszahlen kundgibt. Dies hat die ESTV in ihrem Einspracheentscheid vom 6. Juli 2012 getan. Sie legte darin insbesondere dar, sie habe den Erfahrungswert von Fr. 2.15 aus 38 Datensätzen berechnet. Die erhobenen Daten würden Angestellte von diversen Taxibetrieben in der Stadt Basel betreffen. Dabei seien Vollzeit- und Teilzeitangestellte, Tag- und Nachtchauffeure sowie auch Fahrten zu Spezialpreisen berücksichtigt worden. Zudem seien bei den erhobenen Daten alle Arten von Fahrten inbegriffen (Flughafen, Kundenkarte, Kreditkarte, Fahrten für Pharmafirmen etc.). Im Weiteren legte die ESTV insbesondere detailliert dar, welche Leer- und Privatfahrten beim ermittelten Ansatz berücksichtigt worden seien (vgl. Ziff. 3.7.1 des Einspracheentscheids). Entgegen der Ansicht des Beschwerdeführers hat sie ihm die Art und Weise, wie der Ansatz von Fr. 2.15 Umsatz/km zustande gekommen ist, bekannt gegeben. Die ESTV ist demnach ihrer Begründungspflicht in genügender Weise nachgekommen. In der Folge ist zu prüfen, ob die ESTV sich bei ihrer Schätzung zu Recht auf diese Erfahrungszahlen gestützt hat. Dies ist der Fall, wenn sie auf einer sicheren Grundlage beruhen und aufgrund umfassender, repräsentativer, homogener und aktueller Stichproben gewonnen worden sind (E. 2.7.2).</w:t>
      </w:r>
    </w:p>
    <w:p>
      <w:r>
        <w:rPr>
          <w:b/>
        </w:rPr>
        <w:t>E. 3.3.1</w:t>
      </w:r>
    </w:p>
    <w:p>
      <w:r>
        <w:t>Das Bundesverwaltungsgericht hatte bereits u.a. in seinen Urteilen A 2690/2011 vom 24. Januar 2012, A-1447/2010 vom 11. November 2011 und A-2998/2009 vom 11. November 2010 Gelegenheit, ermessensweise Umsatzschätzungen der ESTV bezüglich Taxibetriebe in der Stadt Basel zu überprüfen. Die ESTV wendete bei diesen Schätzungen die gleichen Erfahrungszahlen wie im vorliegenden Fall an. Im Weiteren handelte es sich in den zitierten Entscheiden ebenfalls um (selbständige) Einzelunternehmer, die an eine Taxizen­trale angeschlossen waren, ein normales Taxi betrieben und über eine Taxihalterbewilligung A verfügten (Letzteres im Gegensatz zum Sachverhalt, der dem Urteil des Bundesverwaltungsgerichts A 7809/2010 vom 5. September 2011 zugrunde gelegen hat). Das Bundesverwaltungsgericht kam in den genannten Fällen zum Ergebnis, dass sich die ESTV bei der Ermittlung des Ansatzes von Fr. 2.15/km (inkl. Fr. 0.11 Trinkgeld) auf Datensätze gestützt habe, welche die lokalen und betrieblichen Eigenheiten der betreffenden Taxibetriebe berücksichtigt hätten. Die Datenerhebung könne als genügend breit und aktuell sowie für die betreffenden Beschwerdeführer repräsentativ bezeichnet werden. Ebenfalls korrekt gewesen sei, dass die ESTV jeweils den Mittelwert der bei den 38 Datensätzen ermittelten Umsätze pro Kilometer angewendet habe. Es bestünden keine Hinweise auf individuelle Verhältnisse bei den betreffenden Taxibetrieben, die einen davon abweichenden Ansatz nahe legen würden (vgl. Urteil des Bundesverwaltungsgerichts A 2690/2011 vom 24. Januar 2012 E. 3.5.1). Analoges gilt für den vorliegenden Fall, da der relevante Sachverhalt mit demjenigen der genannten Fälle vergleichbar ist. Der von der ESTV ermittelte Ansatz von Fr. 2.15 Umsatz/km kann deshalb auch vorliegend der ermessensweisen Schätzung zugrunde gelegt werden. Es ist darauf hinzuweisen, dass bei der Festsetzung dieses Ansatzes selbstverständlich gewisse Ungenauigkeiten in Kauf zu nehmen sind, die sich systemimmanent bei der Ermittlung von Durchschnittswerten ergeben. Der Beschwerdeführer hätte es aber in der Hand gehabt, durch ordnungsgemässe Aufzeichnungen von vornherein Klarheit über seine tatsächlich erzielten Umsätze zu schaffen (vgl. Urteil des Bundesgerichts 2C_429/2009 vom 9. November 2009 E. 5.2).</w:t>
      </w:r>
    </w:p>
    <w:p>
      <w:r>
        <w:rPr>
          <w:b/>
        </w:rPr>
        <w:t>E. 3.3.2</w:t>
      </w:r>
    </w:p>
    <w:p>
      <w:r>
        <w:t>Der Beschwerdeführer wendet ein, es müsse zwischen grösseren, effizient organisierten Taxiunternehmen und Einzelchauffeuren wie ihm, die nicht an eine Zentrale angeschlossen seien, unterschieden werden. Grössere Taxibetriebe könnten ihren Chauffeuren häufiger Anschlussfahrten vermitteln. Er müsse dagegen vermehrt nach Kunden auf der Strasse "wischen". Dies bedinge beträchtliche Umwege und damit mehr "Leerfahrten". Diesen Einwänden ist zunächst entgegen zu halten, dass der Beschwerdeführer in seinen Aufstellungen über seine Ausgaben jeweils einen Posten "Zentrale + Funkgebühr" mit den folgenden Beträgen ausgewiesen hat: 2006 Fr. 1'169.--, 2007 Fr. 1'083.--, 2008 Fr. 1'205.-- und 2009 Fr. 1'540.--. Es ist deshalb davon auszugehen, dass er in der gesamten vorliegend relevanten Zeit an eine Taxizentrale angeschlossen war. In der Folge ist auch sein Argument nicht stichhaltig, er habe weniger Anschlussfahrten als grössere Taxiunternehmen, da keine Anhaltspukte dafür vorliegen, dass seine Taxizentrale weniger effizient gewesen ist. Zudem muss festgehalten werden, dass gemäss § 18 der Verordnung zum Taxigesetz des Kantons Basel-Stadt vom 3. Dezember 1996 (Taxiverordnung, SG 563.210) das "Wischen", d.h. das nur der Kundenanwerbung dienende Befahren der Strassen ohne bestimmtes Fahrziel, ohnehin verboten ist. Auch dies spricht gegen die Behauptung des Beschwerdeführers, er habe mehr "Leerfahrten" als grössere Taxiunternehmen. Zusammenfassend ist es dem Beschwerdeführer nicht gelungen, den Nachweis dafür zu erbringen, dass er eine höhere "Leerfahrtenquote" aufgewiesen hat, als die von der ESTV berücksichtigte in der Höhe von 56,53%.</w:t>
      </w:r>
    </w:p>
    <w:p>
      <w:r>
        <w:rPr>
          <w:b/>
        </w:rPr>
        <w:t>E. 3.3.3</w:t>
      </w:r>
    </w:p>
    <w:p>
      <w:r>
        <w:t>Entgegen der Ansicht des Beschwerdeführers wären im Weiteren unterschiedliche Kostenstrukturen von grösseren und kleineren Taxiunternehmen bei der vorliegenden Schätzung nicht massgebend. Der Beschwerdeführer war denselben Tarifen unterstellt wie grosse Taxiunternehmen und ebenfalls einer Taxizentrale angeschlossen. Es ergeben sich daher hinsichtlich der Umsatzerzielung pro Kilometer keine erkennbaren Unterschiede. Für die Ermittlung des Umsatzes pro Kilometer ist es irrelevant, ob grössere Taxiunternehmen allenfalls niedrigere Kosten pro Kilometer aufweisen; die Kosten würden sich einzig auf den mehrwertsteuerlich irrelevanten Gewinn, nicht aber auf den Umsatz auswirken. Der vom Beschwerdeführer vorgebrachte Vergleich mit verschiedenen Restaurationsbetrieben, die unterschiedliche Kostenstrukturen und Margen aufweisen (Restaurant, Pizzeria mit Kurierdienst etc.), kann deshalb für die vorliegende Schätzung von vornherein nicht von Bedeutung sein. Im Übrigen ist durchaus fraglich, ob grössere Taxiunternehmen tatsächlich geringere Kosten pro Kilometer aufweisen als selbständige Einzelunternehmer. Letztere profitieren nämlich davon, dass sie verschiedene Administrativtätigkeiten selber erledigen können und insoweit geringere Kosten anfallen. Die von der ESTV erhobenen Daten sind demzufolge auch für den Beschwerdeführer als repräsentativ zu bezeichnen. Der Erfahrungswert von Fr. 2.15/km kann demnach auch auf den Beschwerdeführer angewendet werden.</w:t>
      </w:r>
    </w:p>
    <w:p>
      <w:r>
        <w:rPr>
          <w:b/>
        </w:rPr>
        <w:t>E. 3.3.4</w:t>
      </w:r>
    </w:p>
    <w:p>
      <w:r>
        <w:t>Im Sinn einer antizipierten Beweiswürdigung (E. 2.9) kann schliesslich auf die vom Beschwerdeführer mehrfach angebotene Parteibefragung verzichtet werden. Es ist nicht davon auszugehen, dass er etwas anderes aussagen würde, als er bereits in der Beschwerdeschrift ausgeführt hat.</w:t>
      </w:r>
    </w:p>
    <w:p>
      <w:r>
        <w:rPr>
          <w:b/>
        </w:rPr>
        <w:t>E. 3.4</w:t>
      </w:r>
    </w:p>
    <w:p>
      <w:r>
        <w:t>Die Schätzung der ESTV erweist sich damit sowohl hinsichtlich der ermittelten Anzahl Kilometer als auch des Ansatzes von Fr. 2.15/km als rechtmässig.</w:t>
      </w:r>
    </w:p>
    <w:p>
      <w:r>
        <w:rPr>
          <w:b/>
        </w:rPr>
        <w:t>E. 3.4.1</w:t>
      </w:r>
    </w:p>
    <w:p>
      <w:r>
        <w:t>Der Beschwerdeführer weist aufgrund der Anzahl geschäftlich gefahrener Kilometer (E. 3.2.1) und des Ansatzes von Fr. 2.15/km die folgenden Umsätze auf: 2006 Fr. 105'457.--, 2007 Fr. 106'541.--, 2008 Fr. 101'089.-- und 2009 Fr. 95'122.--. Im Weiteren ergeben sich bei Anwendung des für Taxiunternehmen massgebenden Saldosteuersatzes von 5,2% die folgenden Steuerzahllasten: 2006 Fr. 5'484.--, 2007 Fr. 5'540.--, 2008 Fr. 5'256.-- und 2009 Fr. 4'946.--.</w:t>
      </w:r>
    </w:p>
    <w:p>
      <w:r>
        <w:rPr>
          <w:b/>
        </w:rPr>
        <w:t>E. 3.4.2</w:t>
      </w:r>
    </w:p>
    <w:p>
      <w:r>
        <w:t>Aufgrund des Überschreitens der Umsatzgrenze von Fr. 75'000.-- und der Steuerzahllast von Fr. 4'000.-- in den Jahren 2006 bis 2009 wäre die Steuerpflicht des Beschwerdeführers grundsätzlich ab dem 1. Januar 2007 gegeben (E. 2.2). Die ESTV hat jedoch die Steuerpflicht rückwirkend per 1. Januar 2006 festgelegt, da sie im Jahr 2005 von einem ähnlich hohen Umsatz (sowie Steuerzahllast) ausgeht wie in den Folgejahren. Die ESTV hat damit eine Umlage vorgenommen. Dieses Vorgehen ist zulässig, da für das Jahr 2005 keine verwertbaren Unterlagen, insbesondere keine Fahrtenschreiberkarten und Servicekarten vorliegen und davon ausgegangen werden kann, die massgebenden Verhältnisse in diesem Jahr seien ähnlich gewesen wie in den Folgejahren (E. 2.6.3). Im Übrigen bringt der Beschwerdeführer nichts Gegenteiligen vor. Auch für das Jahr 2005 ist demnach von einem Umsatz von über Fr. 75'000.-- und einer Steuerzahllast von über Fr. 4'000.-- auszugehen. Die massgebende Umsatz- bzw. Steuerzahllastgrenze wurde demnach bereits im Jahr 2005 überschritten. Die Steuerpflicht ist damit ab dem 1. Januar 2006 gegeben (E. 2.2). Im Weiteren ist auch die Berechnung der Steuerforderung der ESTV korrekt. Für die Steuerperioden vom 1. Quartal 2006 bis 4. Quartal 2009 hat der Beschwerdeführer insgesamt Fr. 21'226.-- Mehrwertsteuer zuzüglich Verzugszins zu entrichten. Im Übrigen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dazu auch Urteile des Bundesverwaltungsgerichts A 281/2009 vom 14. Oktober 2010 E. 6.2.4, A-2184/2008 vom 3. Juni 2010 E. 6.3, A-2149/2008 und A 2170/2008 vom 17. Mai 2010 E. 6.2.7, A-1614/2006 vom 1. Oktober 2008 mit dem Hinweis, dass die ESTV auch andere gleichgelagerte Fälle rechtsgleich zu behandeln hat).</w:t>
      </w:r>
    </w:p>
    <w:p>
      <w:r>
        <w:rPr>
          <w:b/>
        </w:rPr>
        <w:t>E. 4</w:t>
      </w:r>
    </w:p>
    <w:p>
      <w:r>
        <w:t>Nach dem Gesagten ist die Beschwerde abzuweisen. Ausgangsgemäss sind die Verfahrenskosten in der Höhe von Fr. 3'000.-- dem Beschwerdeführer aufzuerlegen (Art. 63 Abs. 1 VwVG) und mit dem geleisteten Kostenvorschuss in gleicher Höhe zu verrechnen.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