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A-6885/2019 vom 13. Dezember 2021</w:t>
      </w:r>
    </w:p>
    <w:p>
      <w:r>
        <w:t>Bundesverwaltungsgericht, 2021-12-13, DE</w:t>
      </w:r>
    </w:p>
    <w:p>
      <w:r>
        <w:rPr>
          <w:b/>
        </w:rPr>
        <w:t xml:space="preserve">Quelle: </w:t>
      </w:r>
      <w:r>
        <w:t>https://mcp.opencaselaw.ch/entscheid/bvger_A-6885_2019</w:t>
      </w:r>
    </w:p>
    <w:p>
      <w:r>
        <w:t>FR: TAF A-6885/2019 du 13 décembre 2021</w:t>
      </w:r>
    </w:p>
    <w:p>
      <w:r>
        <w:t>IT: TAF A-6885/2019 del 13 dicembre 2021</w:t>
      </w:r>
    </w:p>
    <w:p>
      <w:pPr>
        <w:pStyle w:val="Heading2"/>
      </w:pPr>
      <w:r>
        <w:t>Regeste</w:t>
      </w:r>
    </w:p>
    <w:p>
      <w:r>
        <w:t>Amtshilfe</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 (vgl. auch Urteil des BVGer A-3576/2020 vom 1. März 2021 E. 1.2).</w:t>
      </w:r>
    </w:p>
    <w:p>
      <w:r>
        <w:rPr>
          <w:b/>
        </w:rPr>
        <w:t>E. 1.2</w:t>
      </w:r>
    </w:p>
    <w:p>
      <w:r>
        <w:t>Anfechtungsobjekt im Verfahren vor dem Bundesverwaltungsgericht bildet einzig der vorinstanzliche Entscheid, soweit er im Streit liegt. Vorliegend ist dies die Schlussverfügung der Vorinstanz vom 26. November 2019 (vgl. Sachverhalt Bst. A.n).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1.4.2</w:t>
      </w:r>
    </w:p>
    <w:p>
      <w:r>
        <w:t>Die Beschwerdeführerin erfüllt als Adressatin der angefochtenen Schlussverfügung und Person, deren Daten übermittelt werden sollen, die Voraussetzungen der Beschwerdelegitimation (vgl. Art. 19 Abs. 2 StAhiG i.V.m. Art. 48 VwVG). Nach dem Dargelegten ist auf die form- und fristgerecht eingereichte Beschwerde (vgl. Art. 50 Abs. 1 VwVG und Art. 52 Abs. 1 VwVG i.V.m. Art. 19 Abs. 5 StAhiG) - unter Vorbehalt des nachfolgend in Erwägung 1.4.3 Gesagten - einzutreten.</w:t>
      </w:r>
    </w:p>
    <w:p>
      <w:r>
        <w:rPr>
          <w:b/>
        </w:rPr>
        <w:t>E. 1.4.3</w:t>
      </w:r>
    </w:p>
    <w:p>
      <w:r>
        <w:t>Auf Rechtsmittel, welche stellvertretend für Dritte bzw. in deren Interesse erhoben werden, ist gemäss bundesgerichtlicher Rechtsprechung nicht einzutreten (vgl. BGE 139 II 404 E. 11.1 und 137 IV 134 E. 5.2.2; Urteile des BVGer A-2175/2021 vom 22. September 2021 E. 1.3.2, A-1507/ 2020 vom 17. August 2021 E. 1.3.3 und A-6854/2018 vom 3. März 2020 E. 1.3.2). Entsprechend ist auf die vorliegende Beschwerde insoweit nicht einzutreten, als sich die Beschwerdeführerin gegen die Übermittlung der Namen und anderer schützenswerte Informationen von Geschäftspartnern mit der Begründung ausspricht, es bestehe die Befürchtung, der ersuchte Staat könnte eine Veröffentlichung dieser Daten nicht verhindern (vgl. Stellungnahme vom 7. Januar 2021 Rz. 15). Im Übrigen kann festgehalten werden, dass es sich bei besagten Geschäftspartnern nicht um Personen handelt, welche «rein zufällig» in den zu übermittelnden Unterlagen erscheinen (vgl. nachfolgend E. 3.2.5) und es sich bei den betreffenden Daten auch nicht um solche handelt, welche von vornherein als voraussichtlich nicht erheblich eingestuft werden könnten. Darüber hinaus sind sie durch das geltende Spezialitätsprinzip vor einer nachteiligen Verwendung ihrer Daten geschützt (vgl. nachfolgend E. 3.2.6).</w:t>
      </w:r>
    </w:p>
    <w:p>
      <w:r>
        <w:rPr>
          <w:b/>
        </w:rPr>
        <w:t>E. 1.5.1</w:t>
      </w:r>
    </w:p>
    <w:p>
      <w:r>
        <w:t>Es gilt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statt vieler: Urteil des BVGer A-642/2020 vom 5. Januar 2021 E. 2.2; Moser/Beusch/Kneubühler, Prozessieren vor dem Bundesverwaltungsgericht, 2. Aufl. 2013, Rz. 1.54).</w:t>
      </w:r>
    </w:p>
    <w:p>
      <w:r>
        <w:rPr>
          <w:b/>
        </w:rPr>
        <w:t>E. 1.5.2</w:t>
      </w:r>
    </w:p>
    <w:p>
      <w:r>
        <w:t>Der Inhalt einer Norm ist durch Auslegung zu ermitteln. Ausgangs-punkt bildet dabei stets der Wortlaut der jeweiligen Bestimmung. Nur wenn der Text nicht ohne Weiteres klar ist und verschiedene Interpretationen möglich sind, muss unter Beizug weiterer Auslegungsmethoden nach der wahren Tragweite der Bestimmung gesucht werden (vgl. BGE 143 II 268 E. 4.3.1, 143 II 202 E. 8.5). Vom Wortlaut kann abgewichen werden, wenn triftige Gründe für die Annahme bestehen, dass er nicht den wahren Sinn der Vorschrift wiedergibt (BGE 143 II 268 E. 4.3.1, 143 II 202 E. 8.5). Bei der Auslegung eines internationalen Übereinkommens sind sodann die sich aus dem Wiener Übereinkommen vom 23. Mai 1969 über das Recht der Verträge (Wiener Übereinkommen, VRK; SR 0.111) ergebenden Grundsätze zu beachten (vgl. Art. 1 VRK). Auch gemäss dem Wiener Übereinkommen bildet der Wortlaut der jeweiligen vertraglichen Bestimmung Ausgangspunkt jeder Auslegung. Der Text der Vertragsbestimmung ist aus sich selbst heraus gemäss seiner gewöhnlichen Bedeutung zu interpretieren. Diese gewöhnliche Bedeutung ist jedoch in Übereinstimmung mit ihrem Zusammenhang, dem Ziel und Zweck des Vertrags - bzw. der auszulegenden Vertragsbestimmung - und gemäss Treu und Glauben zu eruieren (vgl. Art. 31 Abs. 1 VRK).</w:t>
      </w:r>
    </w:p>
    <w:p>
      <w:r>
        <w:rPr>
          <w:b/>
        </w:rPr>
        <w:t>E. 2.1</w:t>
      </w:r>
    </w:p>
    <w:p>
      <w:r>
        <w:t>Zunächst ist auf den prozessualen Antrag der Vorinstanz einzugehen, das vorliegende Verfahren sei mit den unter den separaten Geschäftsnummern geführten Parallelverfahren (A-6857/2019, A-6858/2019, A-6925/ 2019, A-6926/2019, A-6928/2019 und A-6961/2019) zu vereinigen.</w:t>
      </w:r>
    </w:p>
    <w:p>
      <w:r>
        <w:rPr>
          <w:b/>
        </w:rPr>
        <w:t>E. 2.2</w:t>
      </w:r>
    </w:p>
    <w:p>
      <w:r>
        <w:t>Grundsätzlich bildet jeder vorinstanzliche Entscheid bzw. jede Verfügung ein selbständiges Anfechtungsobjekt und ist deshalb - wie in den hier in Frage stehenden Parallelverfahren geschehen -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und hängt nicht zuletzt mit dem Grundsatz der Prozessökonomie zusammen, wonach ein Verfahren im Interesse aller Beteiligten möglichst einfach, rasch sowie zweckmässig zum Abschluss gebracht werden soll (vgl. BGE 128 V 124 E. 1; Urteile des BVGer A-6074/2019 vom 8. September 2021 E. 1.3, A-4544/2019 vom 5. Mai 2020 E. 1.1.1).</w:t>
      </w:r>
    </w:p>
    <w:p>
      <w:r>
        <w:rPr>
          <w:b/>
        </w:rPr>
        <w:t>E. 2.3</w:t>
      </w:r>
    </w:p>
    <w:p>
      <w:r>
        <w:t>Die Schlussverfügungen der ESTV vom 26. November 2019, gegen welche sich die Beschwerden in den hier in Frage stehenden Parallelverfahren richten, beziehen sich alle auf das Amtshilfeersuchen des MoF vom 10. April 2018, ergänzt am 6. September 2018 sowie am 22. November 2018. Zwar haben alle Beschwerdeführenden der von der Vorinstanz beantragten Verfahrensvereinigung zugestimmt (vgl. Sachverhalt Bst. B.d). Doch haben auch alle Beschwerdeführenden in der Folge Geheimhaltungsinteressen geltend gemacht, welche einer Verfahrensvereinigung im Instruktionsverfahren entgegenstanden (vgl. Sachverhalt Bst. B.h). Vor dem Hintergrund, dass die Verfahren bisher separat geführt worden sind, ist der prozessökonomische Vorteil einer Vereinigung zum jetzigen Zeitpunkt im vorliegenden Fall als klein einzustufen. Auch wäre die Übersichtlichkeit des Urteils bei einer Vereinigung der sieben Parallelverfahren kaum zu gewährleisten. Aus diesen Gründen ist der Antrag der Vorinstanz auf Verfahrensvereinigung abzuweisen.</w:t>
      </w:r>
    </w:p>
    <w:p>
      <w:r>
        <w:rPr>
          <w:b/>
        </w:rPr>
        <w:t>E. 3.1.1</w:t>
      </w:r>
    </w:p>
    <w:p>
      <w:r>
        <w:t>Das vorliegende Amtshilfeersuchen vom 10. April 2018, ergänzt am 6. September 2018 und am 22. November 2018, stützt sich auf das MAC (vgl. Sachverhalt Bst. A.a). Gemäss diesem Übereinkommen leisten die Vertragsparteien, darunter die Schweiz und Israel - unter der Bedingung, dass die in Art. 18 Abs. 1 MAC genannten Voraussetzungen erfüllt sind (vgl. dazu nachfolgend E. 3.1.6) - Amtshilfe in Steuersachen (Art. 1 Abs. 1 MAC).</w:t>
      </w:r>
    </w:p>
    <w:p>
      <w:r>
        <w:rPr>
          <w:b/>
        </w:rPr>
        <w:t>E. 3.1.2</w:t>
      </w:r>
    </w:p>
    <w:p>
      <w:r>
        <w:t>Das Übereinkommen gilt gemäss Art. 2 Abs. 1 Bst. a MAC u.a. für Steuern vom Einkommen oder vom Gewinn, für Steuern von Gewinnen aus der Veräusserung von Vermögen, die getrennt von der Steuer vom Einkommen oder vom Gewinn erhoben werden sowie für Steuern vom Vermögen, die für Rechnung einer Vertragspartei erhoben werden.</w:t>
      </w:r>
    </w:p>
    <w:p>
      <w:r>
        <w:rPr>
          <w:b/>
        </w:rPr>
        <w:t>E. 3.1.3</w:t>
      </w:r>
    </w:p>
    <w:p>
      <w:r>
        <w:t>Nach Art. 5 Abs. 1 MAC i.V.m. Art. 4 Abs. 1 MAC erteilt der ersuchte Staat auf Ersuchen eines anderen Vertragsstaates letzterem alle Informationen, welche für die Anwendung beziehungsweise Durchsetzung seines innerstaatlichen Rechts betreffend die unter das MAC fallenden Steuern voraussichtlich erheblich (vgl. dazu nachfolgend E. 3.2.1) sind.</w:t>
      </w:r>
    </w:p>
    <w:p>
      <w:r>
        <w:rPr>
          <w:b/>
        </w:rPr>
        <w:t>E. 3.1.4</w:t>
      </w:r>
    </w:p>
    <w:p>
      <w:r>
        <w:t>Gemäss Art. 21 Abs. 1 MAC berührt dieses Übereinkommen die Rechte und Sicherheiten nicht, die Personen durch das Recht oder die Verwaltungspraxis des ersuchten Staates gewährt werden. Die Schweiz ist also explizit befugt, ihr innerstaatliches Verfahren durchzuführen, um zu entscheiden, ob dem ersuchenden Staat Amtshilfe zu leisten ist oder nicht. Das entsprechende Verfahren richtet sich nach dem StAhiG (Art. 1 Abs. 1 StAhiG und Art. 24 StAhiG e contrario), soweit das MAC keine abweichenden Bestimmungen enthält (Art. 1 Abs. 2 StAhiG). Gemäss Art. 19 Abs. 5 StAhiG gelten die Bestimmungen über die Bundesrechtspflege, soweit dieses Gesetz keine abweichenden Bestimmungen aufstellt (vgl. Urteil des BVGer A-3576/2020 vom 1. März 2021 E. 1.1).</w:t>
      </w:r>
    </w:p>
    <w:p>
      <w:r>
        <w:rPr>
          <w:b/>
        </w:rPr>
        <w:t>E. 3.1.5</w:t>
      </w:r>
    </w:p>
    <w:p>
      <w:r>
        <w:t>Nach Art. 28 Abs. 6 MAC gilt dieses Übereinkommen - soweit hier interessierend -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(vgl. Sachverhalt Bst. A.a). Demnach kann sie Amtshilfe betreffend Besteuerungszeiträume ab dem 1. Januar 2018 gewähren. Diesbezüglich wird in Art. 28 Abs. 7 MAC eine Ausnahme vorgesehen. Diese Bestimmung lautet wie folgt: «Ungeachtet des Absatzes 6 gilt dieses Übereinkommen in der durch das Protokoll von 2010 geänderten Fassung für Steuersachen im Zusammenhang mit vorsätzlichem Verhalten, das nach dem Strafrecht der ersuchenden Vertragspartei der strafrechtlichen Verfolgung unterliegt, und zwar ab dem Zeitpunkt des Inkrafttretens für eine Vertragspartei im Zusammenhang mit früheren Besteuerungszeiträumen oder Steuerverbindlichkeiten.» Vom Grundsatz von Art. 28 Abs. 6 MAC abweichend wird der zeitliche Anwendungsbereich des Abkommens demnach gemäss Art. 28 Abs. 7 MAC in jenen Fällen ausgeweitet, in welchen dem Amtshilfeersuchen vorsätzliches Verhalten zu Grunde liegt, welches nach dem Strafrecht der ersuchenden Vertragspartei der strafrechtlichen Verfolgung unterliegt. Soweit ist der Wortlaut der Bestimmung unmissverständlich. Im Weiteren stellt sich aber die Frage, welchen zeitlichen Umfang die Ausweitung des Anwendungsbereichs des Abkommens gemäss Art. 28 Abs. 7 MAC aufweist. Die Bestimmung hält fest, dass in jenen Fällen, in welchen vorsätzliches strafrechtlich relevantes Verhalten eine Rolle spielt, das Übereinkommen ab dem Zeitpunkt des Inkrafttretens für eine Vertragspartei in Zusammenhang mit früheren Besteuerungszeiträumen oder Steuerverbindlichkeiten gilt. Dies bedeutet, dass in diesen Fällen, ab dem Zeitpunkt des Inkrafttretens des Übereinkommens für die jeweilige Vertragspartei, für sämtliche Besteuerungszeiträume Amtshilfe gewährt werden kann. Eine Einschränkung der amtshilfefähigen Besteuerungszeiträume bzw. Steuerverbindlichkeiten geht aus dem Wortlaut von Art. 28 Abs. 7 MAC nicht hervor und ist - gerade unter Berücksichtigung von Art. 30 Abs. 1 Bst. f MAC (vgl. nachfolgend) - nicht anzunehmen. In Art. 30 Abs. 1 MAC werden die zulässigen Vorbehalte festgehalten, welche die Vertragsparteien gemäss Übereinkommen anbringen können. Gemäss Art. 30 Abs. 1 Bst. f MAC können die Vertragsstaaten - soweit hier interessierend - erklären, sich das Recht vorzubehalten, Art. 28 Abs. 7 MAC ausschliesslich auf Amtshilfe im Zusammenhang mit Zeiträumen anzuwenden, die am oder nach dem 1. Januar des dritten Jahres vor dem Jahr beginnen, in dem das Übereinkommen in der durch das Protokoll von 2010 geänderten Fassung für eine Vertragspartei in Kraft getreten ist. Die Schweiz hat von der Möglichkeit von Art. 30 Abs. 1 Bst. f MAC Gebrauch gemacht. Sie hat - soweit hier interessierend - erklärt, sie wende Art. 28 Abs. 7 MAC in Fällen, in welchen ein Besteuerungszeitraum genannt werde, nur auf Amtshilfe im Zusammenhang mit Besteuerungzeiträumen an, die am oder nach dem 1. Januar des dritten Jahres vor dem Jahr beginnen, in dem das Übereinkommen für eine Vertragspartei in Kraft getreten ist (vgl. Art. 1 Ziff. 5 Bst. a des Bundesbeschlusses vom 18. Dezember 2015 über die Genehmigung und die Umsetzung des Übereinkommens des Europarates und der OECD über die geistige Amtshilfe in Steuersachen [AS 2016 5059]). Für die Schweiz ist das Übereinkommen am 1. Januar 2017 in Kraft getreten, für Israel am 1. Dezember 2016. Es stellt sich damit die Frage, ob Amtshilfe zwischen diesen beiden Ländern für Besteuerungszeiträume ab dem 1. Januar 2014 oder dem 1. Januar 2013 gewährt werden kann. Diesbezüglich lässt sich der Botschaft vom 5. Juni 2015 zur Genehmigung des Übereinkommens des Europarats und der OECD über die gegenseitige Amtshilfe in Steuersachen und zu seiner Umsetzung [Änderung des Steueramtshilfegesetzes] (nachfolgend: Botschaft zum Übereinkommen; BBl 2015 5585 5619 f.) Folgendes entnehmen: Obwohl das Amtshilfeübereinkommen multilateral ist, muss für jedes bilaterale Verhältnis einzeln bestimmt werden, für welchen Zeitraum die Amtshilfe zulässig ist. Das Amtshilfeübereinkommen muss für beide Parteien anwendbar sein, somit ist der spätere Zeitpunkt ausschlaggebend, an dem das Amtshilfeübereinkommen in der Schweiz und in der anderen Vertragspartei anwendbar wird. Im vorliegenden Fall wäre das demnach der 1. Januar 2014. Dies entspricht auch dem hier zu beurteilenden Ersuchen, welches sich auf die Steuerjahre 2014 bis 2017 bezieht (vgl. Sachverhalt Bst. A.a).</w:t>
      </w:r>
    </w:p>
    <w:p>
      <w:r>
        <w:rPr>
          <w:b/>
        </w:rPr>
        <w:t>E. 3.1.6</w:t>
      </w:r>
    </w:p>
    <w:p>
      <w:r>
        <w:t>Die formellen Anforderungen an ein Amtshilfeersuchen sind in Art. 18 Abs. 1 MAC festgehalten. Ein Ersuchen um Informationen hat demnach, soweit erforderlich, Angaben über jene Behörde oder Stelle zu enthalten, von der das durch die zuständige Behörde gestellte Ersuchen ausgeht (Bst. a). Namen, Anschrift oder alle sonstigen Angaben, welche die Identifizierung der Personen, derentwegen das Ersuchen gestellt wird, müssen, soweit erforderlich, enthalten sein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 des BVGer A-3576/2020 vom 1. März 2021 E. 2.2.6).</w:t>
      </w:r>
    </w:p>
    <w:p>
      <w:r>
        <w:rPr>
          <w:b/>
        </w:rPr>
        <w:t>E. 3.1.7</w:t>
      </w:r>
    </w:p>
    <w:p>
      <w:r>
        <w:t>Reicht die ersuchende ausländische Behörde ein Amtshilfeersuchen ein, welches den formellen und inhaltlichen Anforderungen nach Art. 6 Abs. 1 und 2 StAhiG bzw. dem hier vorgehenden Art. 18 Abs. 1 MAC nicht genügt, so teilt die ESTV dies der ersuchenden Behörde schriftlich mit und gibt ihr Gelegenheit, ihr Ersuchen schriftlich zu ergänzen (Art. 6 Abs. 3 StAhiG).</w:t>
      </w:r>
    </w:p>
    <w:p>
      <w:r>
        <w:rPr>
          <w:b/>
        </w:rPr>
        <w:t>E. 3.2</w:t>
      </w:r>
    </w:p>
    <w:p>
      <w:r>
        <w:t>Die nachfolgend erwähnte Rechtsprechung betreffend die Leistung von Amtshilfe auf Ersuchen gestützt auf ein Doppelbesteuerungsabkommen, kann für das MAC insoweit übernommen werden, als die entsprechenden Bestimmungen unter rechtswesentlichen Aspekten inhaltlich vergleichbar sind (vgl. Urteil des BVGer A-3576/2020 vom 1. März 2021 E. 2.2.2).</w:t>
      </w:r>
    </w:p>
    <w:p>
      <w:r>
        <w:rPr>
          <w:b/>
        </w:rPr>
        <w:t>E. 3.2.1</w:t>
      </w:r>
    </w:p>
    <w:p>
      <w:r>
        <w:t>Eine Grundvoraussetzung für die Leistung von Amtshilfe - sei es gestützt auf ein Doppelbesteuerungsabkommen, sei es gestützt auf das MAC - ist die voraussichtliche Erheblichkeit der ersuchten Informationen zur Anwendung oder Durchsetzung des innerstaatlichen Rechts (vgl. vorangehend E. 3.1.3). Das Erfordernis der voraussichtlichen Erheblichkeit bezweckt, einen möglichst umfassenden Informationsaustausch zu gewährleisten, ohne den Vertragsstaaten zu erlauben, Informationen aufs Geratewohl oder Auskünfte zu verlangen, von denen wenig wahrscheinlich ist, dass sie Licht in die Steuerangelegenheiten einer bestimmten steuerpflichtigen Person bringen würden (vgl. statt vieler: BGE 146 II 150 E. 6.1.1, 143 II 185 E. 3.1.1, 142 II 161 E. 2.1.1). Die Voraussetzung der voraussichtlichen Erheblichkeit bildet dementsprechend eine nicht sehr hohe Hürde für ein Amtshilfeersuchen (BGE 143 II 185 E. 3.3.2, 142 II 161 E. 2.1.1). Als voraussichtlich erheblich gelten rechtsprechungsgemäss Informationen, die für den ersuchenden Staat notwendig sind, um eine in diesem Staat steuerpflichtige Person dort korrekt zu besteuern (vgl. BGE 142 II 161 E. 2.1.1, 141 II 436 E. 4.4.3; Urteile des BVGer A-4228/2018 vom 26. August 2019 E. 2.4, A-4592/2018 vom 21. März 2019 E. 3.1.2). Die «voraussichtliche Erheblichkeit» von geforderten Informationen muss sich bereits aus dem Amtshilfeersuchen ergeben (vgl. BGE 143 II 185 E. 3.3.2, 141 II 436 E. 4.4.3; Urteil des BVGer A-3773/2018 vom 8. Februar 2019 E. 2.5, je m.w.H.).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[vgl. nachfolgend E. 3.2.3] vermutet wird, dass der ersuchende Staat nach Treu und Glauben handelt). Zum anderen sind nur solche Informationen zu übermitteln, die voraussichtlich erheblich sind (vgl. BGE 143 II 185 E. 3.3.2, 141 II 436 E. 4.4.3; Urteile des BVGer A-3810/2020 vom 16. März 2021 E. 2.2.3, A-5383/2019 vom 24. November 2020 E. 2.2.3).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(vgl. BGE 144 II 206 E. 4.3, 142 II 161 E. 2.1.1). 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die verlangten Informationen seien nicht «voraussichtlich erheblich» - nur verweigern, wenn ein Zusammenhang zwischen den verlangten Angaben und der im ersuchenden Staat durchgeführten Untersuchung wenig wahrscheinlich bzw. unwahrscheinlich erscheint (vgl. statt vieler: Urteile des BVGer A-2664/2020 vom 26. Januar 2021 E. 6.2, A-5695/ 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und A-4169/2020 vom 18. Januar 2021 E. 6.3), so ist sie dennoch vorhanden und zu beachten (Urteile des BVGer A-4588/2018 vom 22. Juli 2019 E. 3.4.3, A-2830/2018 vom 17. September 2018 E. 3.1; zum Ganzen: Urteil des BVGer A-3576/2020 vom 1. März 2021 E. 2.2.3). Bei der Beurteilung, ob die verlangten Informationen voraussichtlich erheblich sind, hat der ersuchte Staat nicht die Anwendung des innerstaatlichen Verfahrensrechts des ersuchenden Staates zu prüfen. Es genügt, dass die Informationen möglicherweise geeignet sind,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A-2454/2017 vom 7. Juni 2018, E. 2.1.1.1).</w:t>
      </w:r>
    </w:p>
    <w:p>
      <w:r>
        <w:rPr>
          <w:b/>
        </w:rPr>
        <w:t>E. 3.2.2</w:t>
      </w:r>
    </w:p>
    <w:p>
      <w:r>
        <w:t>Zwar hält das MAC anders als die Amtshilfeartikel (bzw. die dazugehörigen Protokollbestimmungen) in vielen Doppelbesteuerungsabkommen sowie Art. 7 Bst. a StAhiG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erhellt aber, dass ein Ersuchen ohne jegliche Anhaltspunkte dafür, dass die Informationen für den ersuchenden Staat erheblich sein können, nicht möglich sein soll (vgl. auch Ziff. 50 des «Text of the revised explanatory report to the convention on mutual administrative assistance in tax matters as amended by protocol» der OECD, [nachfolgend: Explanatory Report], abrufbar unter: https://www.oecd.org/ctp/exchange-of-tax-information/Explanatory_Report_ENG_%2015_04_2010.pdf; letztmals abgerufen am 18. November 2021). Von einer Beweisausforschung («fishing expedition») kann gemäss der Rechtsprechung zu Doppelbesteuerungsabkommen nicht gesprochen werden, wenn konkrete Fragen in Bezug auf eine identifizierte (bzw. identifizierbare) Person im Zusammenhang mit einer laufenden Untersuchung gestellt werden (Urteil des BVGer A-3576/2020 vom 1. März 2021 E. 2.2.4; ferner Urteile des BVGer A-4588/2018 vom 22. Juli 2019 E. 3.4.2, A-4143/ 2018 vom 28. Mai 2019 E. 2.1.4; vgl. auch Urteil des BVGer A-3482/2018 vom 5. August 2019 E. 5.4).</w:t>
      </w:r>
    </w:p>
    <w:p>
      <w:r>
        <w:rPr>
          <w:b/>
        </w:rPr>
        <w:t>E. 3.2.3</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(wie etwa jene, das Subsidiaritätsprinzip sei eingehalten worden)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Urteile des BVGer A-5383/2019 vom 24. November 2020 E. 2.4). Gleiches gilt für die vom ersuchenden Staat abgegebenen Erklärungen (BGE 142 II 218 E. 3.3; Urteile des BVGer A-2664/2020 vom 26. Januar 2021 E. 6.1.1 f., A-105/2020 vom 22. Januar 2021 E. 2.3.1, A-4228/2018 vom 26. August 2019 E. 2.2; vgl. zum Ganzen: Urteil des BVGer A-3576/2020 vom 1. März 2021 E. 2.2.5).</w:t>
      </w:r>
    </w:p>
    <w:p>
      <w:r>
        <w:rPr>
          <w:b/>
        </w:rPr>
        <w:t>E. 3.2.4</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A-6079/2019 vom 8. September 2021 E. 2.3.1). Daher ist gemäss Rechtsprechung von der ersuchenden Behörde nicht der strikte Beweis des Sachverhalts zu verlangen, doch muss diese hinreichende Verdachtsmomente für dessen Vorliegen dartun (BGE 139 II 451 E. 2.1 und E. 2.2.1, 139 II 404 E. 7.2.2; vgl. statt vieler: Urteil des BVGer A-6079/2019 vom 8. September 2021 E. 2.3.1 m.w.H.).</w:t>
      </w:r>
    </w:p>
    <w:p>
      <w:r>
        <w:rPr>
          <w:b/>
        </w:rPr>
        <w:t>E. 3.2.5</w:t>
      </w:r>
    </w:p>
    <w:p>
      <w:r>
        <w:t>Nach Art. 3 Bst. a StAhiG gilt als «betroffene Person» u.a. eine Person, über die im Amtshilfeersuchen Informationen verlangt werden. Gemäss Art. 4 Abs. 3 StAhiG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nichts mit dem im Amtshilfeersuchen geschilderten Sachverhalt zu tun haben, deren Namen also rein zufällig in den weiterzuleitenden Dokumenten auftauchen («fruit d'un pur hasard»; Botschaft zum Übereinkommen, BBl 2015 5585 5623; statt vieler: Urteile des BVGer A-2175/2021 vom 22. September 2021 E. 2.1.1, A-3791/2017 vom 5. Januar 2018 E. 5.2.2 m.w.H.).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143 II 506 E. 5.2.1; in Bezug auf Daten von Bankangestellten: Urteil des BGer 2C_615/2018 vom 26. März 2019 E. 3.1; vgl. auch Urteile des BVGer A-4143/2018 vom 28. Mai 2019 E. 2.3.1 und A-4819/2016 vom 4. April 2018 E. 3.4 f.). Allerdings bietet das Spezialitätsprinzip und dessen persönliche Dimension den vorgenannten Drittpersonen in solchen Konstellationen Schutz (vgl. dazu nachfolgend E. 3.2.6).</w:t>
      </w:r>
    </w:p>
    <w:p>
      <w:r>
        <w:rPr>
          <w:b/>
        </w:rPr>
        <w:t>E. 3.2.6</w:t>
      </w:r>
    </w:p>
    <w:p>
      <w:r>
        <w:t>Gemäss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(vgl. Urteile des BVGer A-1502/2020 vom 17. August 2021 E. 2.2.2, A-1348/2019 vom 3. März 2020 E. 4.5.1 [vom BGer mit Urteil 2C_253/2020 vom 13. Juli 2020 bestätigt], A-108/2018 vom 13. Februar 2020 E. 10.1 und A-5047/2018 vom 22. Mai 2019 E. 2.5 [vom BGer mit Urteil 2C_540/2019 vom 22. Mai 2019 bestätigt]). Das Bundesgericht hat in BGE 147 II 13 festgehalten, dass die Verwendungsbeschränkung gemäss Art. 26 Abs. 1 aDBA CH-USA ihren Zweck - den Schutz der Souveränität des ersuchten Staats und die korrekte Allokation der Verantwortung für Grundrechtseingriffe unter den Vertragsstaaten - nur erreichen könne, wenn ihr nicht nur eine sachliche, sondern auch eine persönliche Dimension zuerkannt werde. Deshalb dürfe der ersuchende Staat die nach Art. 26 Abs. 1 aDBA CH-USA übermittelten Informationen nicht gegenüber Personen verwenden, die von seinem Ersuchen nicht betroffen waren (vgl. dazu ausführlich E. 3.1 ff. des genannten Urteils sowie zur Auseinandersetzung mit den von der ESTV vorgebrachten Argumenten insbesondere E. 3.6; Urteil des BGer 2C_545/2019 vom 13. Juli 2020 E. 4.7 m.w.H.). Gemäss dieser neusten bundesgerichtlichen Rechtsprechung ist es angezeigt, dass die Vorinstanz die ersuchende Behörde anlässlich der Übermittlung der ersuchten Informationen über den Umfang der Verwendungsbeschränkung informiert (vgl. BGE 147 II 13 E. 3.7; Urteil des BGer 2C_545/2019 vom 13. Juli 2020 E. 4.7; Urteil des BVGer A-3576/2020 vom 1. März 2021 E. 3.2.6). Diese in Bezug auf die Leistung von Amtshilfe gestützt auf Doppelbesteuerungsabkommen ergangene Rechtsprechung ist auf das MAC übertragbar. Im Gegensatz zu den Doppelbesteuerungsabkommen sieht das MAC zwar neben der Leistung von Amtshilfe auf Ersuchen auch die spontane Amtshilfe und den automatischen Informationsaustausch vor. Dieser Umstand vermag indessen nichts am Geltungsbereich des Spezialitätsprinzips zu ändern. Art. 22 MAC stimmt nämlich, soweit hier wesentlich, inhaltlich mit Art. 26 Abs. 2 des OECD-Musterabkommens, auf dem die meisten Amtshilfeklauseln in Doppelbesteuerungsabkommen basieren, überein (vgl. auch Botschaft zum Übereinkommen, BBl 2015 5585 5616). Zudem erfolgt die Amtshilfe im vorliegenden Verfahren gestützt auf ein Ersuchen und eben nicht im Rahmen der spontanen Amtshilfe oder des automatischen Informationsaustauschs. Bei der Leistung von Amtshilfe gestützt auf ein Ersuchen ist abgesehen von hier nicht vorliegenden spezielleren Regelungen in Bezug auf das Spezialitätsprinzip derselbe Massstab anzuwenden, unabhängig davon, auf welches Abkommen sie sich stützt (Urteil des BVGer A-3576/2020 vom 1. März 2021 E. 3.2.6; vgl. nachfolgend E. 4.6.2).</w:t>
      </w:r>
    </w:p>
    <w:p>
      <w:r>
        <w:rPr>
          <w:b/>
        </w:rPr>
        <w:t>E. 3.2.7</w:t>
      </w:r>
    </w:p>
    <w:p>
      <w:r>
        <w:t>Das bereits erwähnte völkerrechtliche Vertrauensprinzip (vgl. vorangehend E. 3.2.3)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4</w:t>
      </w:r>
    </w:p>
    <w:p>
      <w:r>
        <w:t>Im Folgenden wird auf die von der Beschwerdeführerin vorgebrachten Rügen eingegangen, soweit diese nicht bereits durch die Zwischenverfügungen des BVGer vom 8. Dezember 2020, 18. Januar 2021 sowie 4. März 2021 behandelt worden sind. Letzteres betrifft insbesondere die Rüge der Verletzung des rechtlichen Gehörs im Rahmen der Akteneinsicht (vgl. Sachverhalt Bst. B.r). Diesbezüglich ist an dieser Stelle lediglich festzuhalten, dass die Beschwerdeführerin keinen Anspruch auf Offenlegung sämtlicher Unterlagen in ungeschwärzter Form hat und somit vorliegend keine Verletzung des rechtlichen Gehörs mangels derart umfassender Akteneinsicht vorliegt. Die Beschwerde ist diesbezüglich abzuweisen.</w:t>
      </w:r>
    </w:p>
    <w:p>
      <w:r>
        <w:rPr>
          <w:b/>
        </w:rPr>
        <w:t>E. 4.1.1</w:t>
      </w:r>
    </w:p>
    <w:p>
      <w:r>
        <w:t>Die Beschwerdeführerin bringt vor, es hätten unzulässige Kompetenzüberschreitungen stattgefunden, der Vorinstanz fehle es an Neutralität und die zuständige Sachbearbeiterin sei befangen (vgl. Beschwerde Ziff. 3.2). Das Amtshilfeersuchen des MoF vom 10. April 2018 sei offensichtlich ungenügend gewesen. Dennoch habe die Vorinstanz keinen Nichteintretensentscheid gefällt, sondern vielmehr regen E-Mail Austausch mit der ersuchenden Behörde betrieben. Bei diesem habe die Vor-instanz bzw. die zuständige Sachbearbeiterin «eine rote Linie» überschritten. Der ersuchenden Behörde sei per E-Mail unter anderem angeboten worden, die beabsichtigten neuen und/oder angepassten Amtshilfeersuchen vorab auf Mängel, Lücken und Unstimmigkeiten zu prüfen und der ersuchenden Behörde Ergänzungsbedarf mitzuteilen. Damit werde aus der zu Objektivität und Neutralität verpflichteten (ersuchten) Schweizer Behörde quasi eine Interessenvertreterin der ersuchenden Behörde, welche der israelischen Behörde parteiisch zur Seite stehe und/oder die Arbeit für diese gleich selbst erledige. Die Vorinstanz habe der ersuchenden Behörde gar Beispiele genannt, welche den Anforderungen für eine Amtshilfe unter Berücksichtigung von Art. 28 Ziff. 7 MAC genügen würden.</w:t>
      </w:r>
    </w:p>
    <w:p>
      <w:r>
        <w:rPr>
          <w:b/>
        </w:rPr>
        <w:t>E. 4.1.2</w:t>
      </w:r>
    </w:p>
    <w:p>
      <w:r>
        <w:t>Betreffend diese Rüge ist darauf hinzuweisen, dass das Bundesverwaltungsgericht mit Blick auf Art. 6 Abs. 3 StAhiG und das Gebot der Verfahrensbeschleunigung in einem prozessual ähnlich gelagerten Fall bereits entschieden hat, dass Hinweise der ESTV in Bezug auf formelle Anforderungen unproblematisch seien. Anstatt dass die Vorinstanz Ersuchen mehrfach einzig mit dem Hinweis zurückweise, dieses erfülle die Voraussetzungen nach Art. 6 Abs. 1 und 2 StAhiG nicht, spreche nichts dagegen, dass sie die ersuchende Behörde auch konkret über den Inhalt dieser Be-stimmungen informiere (vgl. Urteil des BVGer A-5506/2015 vom 31. Oktober 2016 E. 10.3). Zulässig sind demnach Hinweise, soweit sie sich auf die formellen Anforderungen an ein Amtshilfeersuchen im Sinn von Art. 6 Abs. 1 und 2 StAhiG, bzw. die entsprechenden Bestimmungen im anwendbaren Abkommen, hier Art. 18 Abs. 1 MAC und Art. 28 Abs. 7 MAC, beziehen (vgl. zum Ganzen: Urteil des BVGer A-4016/2017 vom 8. März 2018 E. 3.1.4). Auch im vorliegenden Fall ist nicht ersichtlich, inwiefern die Korrespondenz der Vorinstanz über eine Einladung zur Klarstellung sowie Hinweise auf die Bestimmungen im anwendbaren MAC bzw. die Rechtsgrundlagen im Allgemeinen hinausgehen sollten. Auch die Aufforderung der Vor-instanz an die ersuchende Behörde, gewisse Punkte näher zu substantiieren, bleibt gemäss der Rechtsprechung des Bundesverwaltungsgerichts zulässig. Auch die von der Vorinstanz gegenüber der ersuchenden Behörde gemachten Beispiele, welche den Anforderungen von Art. 28 Ziff. 7 MAC genügen würden, sind nicht zu beanstanden. Wie die Beschwerdeführerin selber ausführt (vgl. Beschwerde Ziff. 3.2.1 Rz. 57), ist die ersuchende Behörde auf diese Beispiele denn auch nicht weiter eingegangen, weil sie diese offenbar für ihren Fall als unzutreffend erachtete. Dies liegt in der Natur der Sache, unterstreicht es doch den Charakter von beispielhaften Anmerkungen, dass diese gerade nicht einschlägig für einen konkret zu beurteilenden Fall sein müssen, sondern vielmehr als grundsätzliche Möglichkeiten wiedergegeben werden. Darüber hinaus ist nicht erkennbar, inwiefern die Vorinstanz dem MoF materiell bei der Ausarbeitung des Amtshilfeersuchens geholfen und so bereits Informationen übermittelt hätte, die das MoF erst im Rahmen der Amtshilfeleistung erfahren dürfte. Nach dem Gesagten erweist sich das Vorgehen der Vorinstanz insoweit als zulässig und eine Befangenheit bzw. fehlende Neutralität der zuständigen Sachbearbeiterin ist nicht ersichtlich.</w:t>
      </w:r>
    </w:p>
    <w:p>
      <w:r>
        <w:rPr>
          <w:b/>
        </w:rPr>
        <w:t>E. 4.2.1</w:t>
      </w:r>
    </w:p>
    <w:p>
      <w:r>
        <w:t>Die Beschwerdeführerin bringt des Weiteren vor, die Anforderungen von Art. 28 Ziff. 7 MAC seien nicht erfüllt. Die ersuchende Behörde habe nicht vorgebracht, inwiefern das Verhalten der betroffenen Personen 1 und 2 der strafrechtlichen Verfolgung unterliege und auch nicht die anwendbaren innerstaatlichen Normen angegeben. Die Vorinstanz werde - so die Beschwerdeführerin weiter - von der israelischen Behörde mit irreführenden und falschen Angaben «dreist an der Nase herumgeführt» (vgl. Beschwerde Ziff. 3.2.1, insb. Rz. 63). Es liege kein vorsätzliches Verhalten vor, welches nach israelischem Strafrecht der Strafverfolgung unterliege (Beschwerde Ziff. 3.2.2).</w:t>
      </w:r>
    </w:p>
    <w:p>
      <w:r>
        <w:rPr>
          <w:b/>
        </w:rPr>
        <w:t>E. 4.2.2</w:t>
      </w:r>
    </w:p>
    <w:p>
      <w:r>
        <w:t>Das MoF hat in seinem Ersuchen dargelegt, welches Verhalten den betroffenen Personen 1 und 2 zur Last gelegt wird. Namentlich besteht der Verdacht, dass die betroffenen Personen 1 und 2 durch Handelsgeschäfte mittels einer von ihnen gesteuerten Unternehmensstruktur, beinhaltend die Beschwerdeführerin, ein beträchtliches Einkommen erzielt, dieses aber nicht rechtmässig versteuert hätten. Es werde vermutet, dass Gewinne in verschiedenen Währungen auf zahlreichen Konten in der Schweiz und in [Ort] deponiert worden seien. Auch hätten die betroffenen Personen 1 und 2 den israelischen Steuerbehörden falsche Informationen in Bezug auf die Kontrolle der Geschäftsführung der genannten Unternehmen präsentiert, um Steuerpflichten in Israel zu umgehen (vgl. Sachverhalt Bst. A.a). Bereits daraus ergibt sich, dass es sich hier nicht um einen Fall handelt, in welchem es um das einfache Einreichen einer unwahrheitsgemässen oder unvollständigen Steuererklärung geht. Der geschilderte Sachverhalt lässt ohne Weiteres auf vorsätzliches Verhalten der betroffenen Personen 1 und 2 schliessen. Ausserdem wurde von der ersuchenden Behörde explizit bestätigt, dass es sich dabei um vorsätzliches, in Israel strafrechtlich relevantes Verhalten handle (vgl. Sachverhalt Bst. A.f). Der Vorinstanz ist deshalb darin beizupflichten, dass diese Angaben genügen, um auf das Amtshilfeersuchen gestützt auf Art. 28 Ziff. 7 MAC einzutreten. Weder im Übereinkommen selbst noch im Explanatory Report oder der Botschaft zum Übereinkommen finden sich Ansatzpunkte, wonach eine «striktere Leseart» des Art. 28 Ziff. 7 MAC verlangt würde, welche im Vergleich zu den übrigen, für eine Gewährung der Amtshilfe erforderlichen Erklärungen der ersuchenden Behörde strenger ausfällt. Letztlich spielt auch hier das Vertrauensprinzip (vgl. E. 3.2.3). Demgemäss besteht prinzipiell kein Anlass, an Sachverhaltsdarstellungen und Erklärungen anderer Staaten zu zweifeln, es sei denn, die abgegebenen Erklärungen der ersuchenden Behörde würden wegen offensichtlicher Fehler, Lücken oder Widersprüche sofort entkräftet. Vorliegend ist nichts ersichtlich, was die Angaben der ersuchenden Behörde erschüttern würden, und auch die Beschwerdeführerin bringt nichts dergleichen vor. Der Vorinstanz ist zuzustimmen, dass sich unter diesen Umständen die Einholung weitergehender Informationen bei der ersuchenden Behörde, inwiefern es sich beim Verhalten der betroffenen Personen 1 und 2 um eine der strafrechtlichen Verfolgung unterliegende Tat handle sowie eine Aufforderung, die anwendbaren innerstaatlichen Gesetzesbestimmungen anzugeben, nicht angezeigt ist. Daran ändert auch nichts, dass die Vorinstanz entsprechende Rückfragen in Bezug auf Art. 28 Abs. 7 MAC zu tätigen pflegte. Von dieser Handhabung, für welche es wie aufgezeigt grundsätzlich keine Veranlassung gibt, ist die Vorinstanz in der Zwischenzeit zu Recht abgekommen. Der Entscheid der Vorinstanz, auf das Amtshilfeersuchen des MoF, mit welchem Informationen betreffend die Steuerjahre 2014 bis und mit 2017erbeten werden, könne mit Blick auf Art. 28 Abs. 7 MAC eingetreten werden, ist nach dem Gesagten nicht zu beanstanden.</w:t>
      </w:r>
    </w:p>
    <w:p>
      <w:r>
        <w:rPr>
          <w:b/>
        </w:rPr>
        <w:t>E. 4.3</w:t>
      </w:r>
    </w:p>
    <w:p>
      <w:r>
        <w:t>Soweit die Beschwerdeführerin materiellrechtliche Rügen vorbringt, ist darauf hinzuweisen, dass die Klärung materiellrechtlicher Fragen gemäss Rechtsprechung nicht dem Ziel und Zweck der Amtshilfe entspricht. Solche Fragen sind im Rahmen des Verfahrens im ersuchenden Staat zu klären und nicht von den Behörden des ersuchten Staates im Amtshilfeverfahren (vgl. Urteil des BGer 2C_726/2018 vom 14. Oktober 2019 E. 3.5, ebenso das Urteil des BVGer A-6829/2017 vom 10. August 2018 E. 5.4.5 in gleicher Sache sowie A-5383/2019 vom 24. November 2020 E. 3.3). Insofern laufen die Vorbringen der Beschwerdeführerin, soweit es sich um materiell-rechtliche Vorbringen handelt, namentlich, dass ein Verstoss gegen das israelische Steuer- oder Strafrecht gemäss ihrer Ansicht nicht gegeben sein könne (vgl. Beschwerde Ziff. 3.2.2 ff.), im vorliegenden Verfahren ins Leere und es ist auf diese nicht näher einzugehen. Die Angaben und Erklärungen des MoF für die Anwendbarkeit des angerufenen Art. 28 Ziff. 7 MAC erweisen sich - wie bereits dargelegt - als genügend.</w:t>
      </w:r>
    </w:p>
    <w:p>
      <w:r>
        <w:rPr>
          <w:b/>
        </w:rPr>
        <w:t>E. 4.4.1</w:t>
      </w:r>
    </w:p>
    <w:p>
      <w:r>
        <w:t>Im Weiteren rügt die Beschwerdeführerin, die zur Übermittlung erbetenen Bankdokumente seien überhaupt nicht geeignet, den im Amtshilfeersuchen geäusserten Vorwurf zu entkräften oder zu erhärten. Abgesehen davon hätten die israelischen Behörden keinen Anspruch darauf, die Ertragssituation bzw. Bankunterlagen der nicht in Israel steuerpflichtigen Beschwerdeführerin zu sehen.</w:t>
      </w:r>
    </w:p>
    <w:p>
      <w:r>
        <w:rPr>
          <w:b/>
        </w:rPr>
        <w:t>E. 4.4.2</w:t>
      </w:r>
    </w:p>
    <w:p>
      <w:r>
        <w:t>Wie vorangehend in Erwägung 3.2.1 festgehalten, ist es grundsätzlich Sache des ersuchenden Staates, zu bestimmen, welche Informationen für die Besteuerung der vom Ersuchen betroffenen Personen voraussichtlich erheblich sind. Im Amtshilfeersuchen des MoF wird der Verdacht geschildert, die betroffenen Personen 1 und 2 hätten durch Handelsgeschäfte mittels einer von ihnen gesteuerten Unternehmensstruktur, beinhaltend zwei offshore Gesellschaften - eine davon die Beschwerdeführerin - ein beträchtliches Einkommen erzielt, ohne dieses rechtmässig zu versteuern. Dass die von der ersuchenden Behörde erbetenen Informationen im Zusammenhang mit dem von ihr dargestellten Sachverhalt als voraussichtlich erheblich erscheinen, ist nicht von der Hand zu weisen (vgl. zur voraussichtlichen Erheblichkeit E. 3.2.1). Es ist ein genügender Zusammenhang zwischen dem im Ersuchen dargestellten Sachverhalt und den verlangten Informationen bzw. dem Steuerzweck ersichtlich. Die ersuchten Informa-tionen erweisen sich somit als voraussichtlich erheblich und sind grundsätzlich zu übermitteln. Dass nicht ausgeschlossen ist, dass sich die übermittelten Informationen dereinst im innerstaatlichen Verfahren als nicht erheblich herausstellen könnten, tut dem keinen Abbruch (vgl. vorangehend E. 3.2.1).</w:t>
      </w:r>
    </w:p>
    <w:p>
      <w:r>
        <w:rPr>
          <w:b/>
        </w:rPr>
        <w:t>E. 4.5.1</w:t>
      </w:r>
    </w:p>
    <w:p>
      <w:r>
        <w:t>Die Beschwerdeführerin bringt weiter vor, die israelischen Steuerbehörden wüssten bereits über die Verhältnisse der betroffenen Personen 1 und 2 sowie deren Beteiligungen Bescheid, zumal die jeweiligen Beteiligungen an den ausländischen Gesellschaften offengelegt worden seien. So seien etwa die von den betroffenen Personen 1 und 2 bzw. deren Rechnungsprüfer jährlich eingereichten Reports von der zuständigen Stelle nicht nur zur Kenntnis genommen, sondern jeweils auch genehmigt worden. Diese Genehmigung lasse sich den behördlichen Stempeln (der beispielhaft eingereichten) Reports entnehmen. Der nun vorgebrachte Vorwurf, diese Reports seien manipuliert gewesen, sei völlig aus der Luft gegriffen. In Tat und Wahrheit gehe es darum zu prüfen, ob die beiden involvierten Gesellschaften - darunter die Beschwerdeführerin - als in Israel steuerrechtlich ansässig gelten müssten. Die Begründung des Amtshilfeersuchens erweise sich in diesem Sinne als irreführend und aktenwidrig (Beschwerde Ziff. 3.2.4.2 Rz. 98). Im Grunde handle es sich um eine «fishing expedition» (Beschwerde Ziff. 3.2.5 Rz. 100).</w:t>
      </w:r>
    </w:p>
    <w:p>
      <w:r>
        <w:rPr>
          <w:b/>
        </w:rPr>
        <w:t>E. 4.5.2</w:t>
      </w:r>
    </w:p>
    <w:p>
      <w:r>
        <w:t>Wie bereits ausgeführt, geht es bei der Prüfung eines Amtshilfeersuchens durch die ersuchte Behörde lediglich darum, abzuklären, ob die ersuchten Informationen voraussichtlich erheblich erscheinen (vgl. vorangehend E. 3.2.1). In Bezug auf den Sachverhalt sowie die übrigen Ausführungen im Ersuchen wird grundsätzlich gestützt auf das Vertrauensprinzip auf das von der ersuchenden Behörde Wiedergegebene abgestellt, es sei denn, es lägen offensichtliche Fehler, Lücken oder Widersprüche vor (vgl. vorangehend E. 3.2.3). Dies ist vorliegend nicht der Fall und auch die Beschwerdeführerin bringt nichts vor, was die Darlegungen der ersuchenden Behörde von vornherein entkräften würde. Das gilt sowohl in Bezug auf die von der Beschwerdeführerin ins Feld geführten israelischen Gerichtsentscheide, als auch hinsichtlich gegebenenfalls von israelischen Behörden in ihrem Fall entgegengenommenen und geprüften Steuererklärungen oder Reports. Auch bei solchen kann nachträglich der Verdacht aufkommen, deren Inhalt entspreche nicht (gänzlich) den Tatsachen. Hinzu kommt zum einen, dass in der Regel nur der ersuchende Staat abschliessend feststellen kann, ob eine Information erheblich ist (E. 3.2.1). Zum anderen können Informationen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A-5447/2020 vom 6. Oktober 2021 E. 3.2.2.3, A-4811/2019 vom 26. April 2021 E. 5.1 und A-765/2019 vom 20. September 2019 E. 3.3.2.3 m.w.H. [bestätigt durch Urteil des BGer 2C_864/2019 vom 17. August 2020]).</w:t>
      </w:r>
    </w:p>
    <w:p>
      <w:r>
        <w:rPr>
          <w:b/>
        </w:rPr>
        <w:t>E. 4.5.3</w:t>
      </w:r>
    </w:p>
    <w:p>
      <w:r>
        <w:t>Einem Amtshilfeersuchen fehlt es namentlich dann an der voraussichtlichen Erheblichkeit, wenn es zur Beschaffung von Beweismitteln aufs Geratewohl und ohne konkreten Zusammenhang zu laufenden Steuerverfahren gestellt wird (vgl. vorangehend E. 3.2.1). Solche Amtshilfeersuchen zur Beweisausforschung werden als «fishing expeditions» bezeichnet (vgl. auch Art. 7 Bst. a StAhiG). Das Bundesgericht hat dieses Verständnis des Begriffs der «fishing expedition» bereits der Auslegung mehrerer Doppelbesteuerungsabkommen zugrunde gelegt (BGE 146 II 150 E. 6.1.2). Eine solche «fishing expedition» liegt im hier zu beurteilenden Fall nicht vor. Die ersuchende Behörde hat alle gemäss Bst. b des Art. 18 Ziff. 1 des MAC notwendigen Angaben geliefert. Sodann erweisen sich die ersuchten Informationen durchaus als notwendig, um eine korrekte Besteuerung der betroffenen Personen 1 und 2 durchführen zu können (vgl. E. 3.2.1 und E. 4.4.2). Die konkreten Verhältnisse einer juristischen Person bzw. Gesellschaft, an welcher eine steuerpflichtige Person wirtschaftlich berechtigt ist, kann für deren Besteuerung durchaus relevant sein, weshalb ein Zusammenhang mit der in Frage stehenden Steuerangelegenheit als zumindest wahrscheinlich erscheint. In einer solchen Konstellation sind die Informationen betreffend die wirtschaftlich beherrschte juristische Person bzw. Gesellschaft daher voraussichtlich erheblich, weswegen die Übermittlung der sie betreffenden Angaben zulässig ist (BGE 141 II 436 E. 4.6). Der Beschwerdeführerin gelingt es nicht, den begründeten Tatverdacht der ersuchenden Behörde mittels Urkunden klarerweise und entscheidend zu entkräften (vgl. diesbezüglich statt vieler: BGE 139 II 451 E. 2.3.3, 128 II 407 E. 5.2.3; Urteile des BVGer A-4811/2019 vom 26. April 2021 E. 5.3, A-1762/2018 vom 15. Mai 2019 E. 3.1.3). Auch eine Verletzung des Verhältnismässigkeitsprinzips kann in diesem Zusammenhang nicht erkannt werden. Die Amtshilfemassnahmen entsprechen vielmehr ihrem Zweck und gehen nicht darüber hinaus (vgl. statt vieler: BGE 139 II 404 E. 7.2.2 m.w.H.; Urteile des BVGer A-4069/2019 vom 21. April 2020 E. 2.2 [vom BGer mit Urteil 2C_325/2020 vom 13. Juli 2020 bestätigt], A-1348/2019 vom 3. März 2020 E. 3.2 [vom BGer mit Urteil 2C_253/2020 vom 13. Juli 2020 bestätigt]).</w:t>
      </w:r>
    </w:p>
    <w:p>
      <w:r>
        <w:rPr>
          <w:b/>
        </w:rPr>
        <w:t>E. 4.6.1</w:t>
      </w:r>
    </w:p>
    <w:p>
      <w:r>
        <w:t>Die Beschwerdeführerin rügt überdies, die ESTV habe im vorliegenden Verfahren davon abgesehen, einen entsprechenden Spezialitätsvorbehalt anzubringen. Sollte Amtshilfe gewährt werden, wäre die ersuchende Behörde ausdrücklich auf die Spezialität in der Amtshilfe hinzuweisen und es sei eine schriftliche Zusicherung zu verlangen, dass die erhaltenen Auskünfte im ersuchenden Staat nur von der zuständigen Steuerbehörde verwendet werden dürften (Beschwerde Ziff. 3.2.6 Rz. 106, Stellungnahme vom 7. Januar 2021 Ziff. 3.3.6 Rz. 87 ff.).</w:t>
      </w:r>
    </w:p>
    <w:p>
      <w:r>
        <w:rPr>
          <w:b/>
        </w:rPr>
        <w:t>E. 4.6.2</w:t>
      </w:r>
    </w:p>
    <w:p>
      <w:r>
        <w:t>Diesbezüglich kann vollumfänglich auf das vorangehend in Erwägung 3.2.6 Dargelegte verwiesen werden. Angesichts der bundesgerichtlichen Rechtsprechung zum Spezialitätsvorbehalt, welche auch für die Amtshilfe gestützt auf das MAC herangezogen werden kann, ist im vorliegenden Verfahren - dem Antrag der Beschwerdeführerin folgend - der Spezialitätsvorbehalt gegenüber der ersuchenden Behörde zu präzisieren. Die Vorinstanz wird Ziffer 3 der angefochtenen Schlussverfügung entsprechend anzupassen haben. Sie wird die ersuchende Behörde bei der Übermittlung der Informationen ausdrücklich darauf hinweisen, dass die Informationen nur in Verfahren gegen die in Israel steuerpflichtigen betroffenen Personen 1 und 2, für den im Ersuchen erwähnten Tatbestand verwendet werden dürfen und dass diese Informationen gemäss Art. 22 MAC geheim zu halten sind. Soweit die Beschwerdeführerin darüber hinaus verlangt, es sei eine schriftliche Zusicherung von der ersuchenden Behörde zu verlangen, ist ihr hingegen nicht zu folgen. Entgegen den Ausführungen der Beschwerdeführerin sind keine Anhaltspunkte ersichtlich, wonach eine zweckwidrige Verwendung im ersuchenden Staat befürchtet bzw. eine entsprechende Zusicherung eingeholt werden müsste (E. 3.2.7).</w:t>
      </w:r>
    </w:p>
    <w:p>
      <w:r>
        <w:rPr>
          <w:b/>
        </w:rPr>
        <w:t>E. 4.7</w:t>
      </w:r>
    </w:p>
    <w:p>
      <w:r>
        <w:t>In Bezug auf das Vorbringen, die angefochtene Schlussverfügung beruhe auf einer unrichtigen und unvollständigen Feststellung des Sachverhalts (Art. 49 Bst. b VwVG), weil sie sich auf die Sachverhaltsdarstellungen im Amtshilfeersuchen gestützt habe (Beschwerde Ziff. 3.3 Rz. 109 ff.), ist auf das bereits in den Erwägungen 3.2.3 und 3.2.4 Gesagte zu verweisen. Das Vorgehen der Vorinstanz ist diesbezüglich nicht zu beanstanden.</w:t>
      </w:r>
    </w:p>
    <w:p>
      <w:r>
        <w:rPr>
          <w:b/>
        </w:rPr>
        <w:t>E. 4.8.1</w:t>
      </w:r>
    </w:p>
    <w:p>
      <w:r>
        <w:t>Die Beschwerdeführerin rügt, die Schlussverfügung erweise sich als unangemessen im Sinne von Art. 49 Bst. c VwVG (Beschwerde Ziff. 3.4, Stellungnahme vom 7. Januar 2021 Ziff. 3.5 Rz. 110 ff.). Die ESTV habe den konkreten Umständen des vorliegenden Einzelfalls nicht gebührend Rechnung getragen. Weiter sei in der Schlussverfügung keine Berücksichtigung und gegenseitige Abwägung der Interessen, insb. der Privatinteressen der Beschwerdeführenden gegenüber dem öffentlichen Interesse (der ersuchenden Behörde) zu erkennen. Letztendlich sei die Schlussverfügung auch nicht zweckmässig. Es sei insbesondere nicht ersichtlich, inwiefern den internationalen Verpflichtungen der Schweiz und der Schweizer Öffentlichkeit durch die übermässig grosszügige Praxis der ESTV gedient werde.</w:t>
      </w:r>
    </w:p>
    <w:p>
      <w:r>
        <w:rPr>
          <w:b/>
        </w:rPr>
        <w:t>E. 4.8.2</w:t>
      </w:r>
    </w:p>
    <w:p>
      <w:r>
        <w:t>Die sich in den Unterlagen befindlichen Informationen zur Beschwerdeführerin erweisen sich wie bereits ausgeführt als im abkommensrechtlichen Sinne voraussichtlich erheblich (E. 4.4.2 und E. 4.5.3). Die Vorinstanz hat diesbezüglich zu Recht die Übermittlung vorgesehen und es besteht praxisgemäss - entgegen der Ansicht der Beschwerdeführerin - kein Raum für eine Interessenabwägung im Sinne von Art. 4 Abs. 3 StAhiG (vgl. dazu etwa Urteil des BVGer A-1315/2019 vom 17. September 2019 E. 3.2.8 [vom BGer mit Urteil 2C_820/2019 vom 13. Juli 2020 bestätigt]; zum Ganzen: Urteil des BVGer A-3972/2019 vom 22. März 2021 E. 4.6.2). Die Beschwerdeführerin wird im Übrigen - ebenso wie die beschwerdeberechtigte Person 4 und weitere in den Unterlagen genannte Dritte - durch das Spezialitätsprinzip geschützt (vgl. E. 3.2.6). Die Beschwerde ist daher auch in diesem Punkt abzuweisen.</w:t>
      </w:r>
    </w:p>
    <w:p>
      <w:r>
        <w:rPr>
          <w:b/>
        </w:rPr>
        <w:t>E. 4.9</w:t>
      </w:r>
    </w:p>
    <w:p>
      <w:r>
        <w:t>Soweit die Beschwerdeführerin den Standpunkt vertritt, es dürften keine Dokumente herausgegeben werden, welche älter als 2014 seien, ist auf die diesbezügliche klare Rechtsprechung des Bundesverwaltungsgerichts zu verweisen, wonach die Übermittlung von Dokumenten, welche vor dem zeitlichen Anwendungsbereich des konkret anwendbaren Doppelbesteuerungsabkommens datieren, nicht per se unzulässig ist. Namentlich sind Kontoeröffnungsunterlagen, welche das Verhältnis zwischen einer Bank und dem Kunden während dessen Dauer betreffen, bei Erfüllung der weiteren Voraussetzungen und fortbestehendem Verhältnis auch dann zu übermitteln, wenn sie vor dem Datum des Beginns des zeitlichen Anwendungsbereichs des Doppelbesteuerungsabkommens bzw. hier des MAC erstellt worden sind (sog. Dauersachverhalte [vgl. Urteile des BVGer A-3555/2018 vom 11. Januar 2019 E. 3.2.3, A-5694/2017 vom 29. Juni 2018 E. 3.8, A-778/2017 vom 5. Juli 2017 E. 9.2.1]). Da es sich bei den von der Beschwerdeführerin genannten Übermittlungsbeilagen Enclosure 12, 13, 14 und 15 um Kontoeröffnungsunterlagen handelt, erübrigen sich weitere Ausführungen zu diesem Vorbringen.</w:t>
      </w:r>
    </w:p>
    <w:p>
      <w:r>
        <w:rPr>
          <w:b/>
        </w:rPr>
        <w:t>E. 4.10</w:t>
      </w:r>
    </w:p>
    <w:p>
      <w:r>
        <w:t>Die Beschwerdeführerin moniert, die ersuchende Behörde nenne keine Anknüpfungspunkte für ihre steuerliche Ansässigkeit in Israel. Dem kann nicht gefolgt werden. Die ersuchende Behörde hat ausgeführt, dass die betroffenen Personen 1 und 2 sich mutmasslich der Beschwerdeführerin sowie einer weiteren offshore Gesellschaft bedient hätten, um Einkommen zu generieren, welches vor dem israelischen Fiskus verborgen werden konnte. Gemäss höchstrichterlicher Rechtsprechung hat der ersuchte Staat aufgrund des Vertrauensprinzips (vgl. vorangehend E. 3.2.3) nur zu prüfen, ob dem Ersuchen rechtsgenügliche Anhaltspunkte dafür zu entnehmen sind, wonach im ersuchenden Staat gemäss dem betreffenden innerstaatlichen Recht eine Steuerpflicht bestehen könnte. Ein möglicher Ansässigkeitskonflikt ist nicht im Rahmen eines Amtshilfeverfahrens, sondern eines Verständigungsverfahrens zu lösen. Ein Amtshilfeersuchen kann dem ersuchenden Staat auch dazu dienen, Argumente für die Lösung des Ansässigkeitskonflikts zu erhalten (BGE 142 II 218 E. 3.1 und E. 3.6 f., 142 II 161 E. 2.2.2 und E. 2.4; Urteile des BVGer A-7622/2016 vom 23. Mai 2017 E. 2.4.1, A-4157/2016 vom 15. März 2017 E. 3.5.3.1 f.). Damit nicht davon ausgegangen wird, ein Amtshilfeersuchen sei willkürlich gestellt worden, genügt also bereits, dass der ersuchende Staat Anhaltspunkte nennt, die eine (je nachdem beschränkte oder unbeschränkte) Steuerpflicht der betroffenen Person in diesem Staat begründen könnten (Urteile des BVGer A-1948/2019 vom 7. November 2019 E. 2.4.4, A-4588/2018 vom 22. Juli 2019 E. 3.6.1 mit Hinweisen). Im vorliegenden Fall erscheint das Kriterium der israelischen Behörde der Überprüfung der tatsächlichen Kontrolle über die Beschwerdeführerin und die zweite vom Ersuchen betroffenen offshore Gesellschaft für eine Steueranknüpfung in Israel als nachvollziehbar. Namentlich könnten sich die ersuchten Informationen im Sinne einer möglichen Berücksichtigung eines steuerlichen Durchgriffs und somit einer steuerlichen Zurechnung der durch die Gesellschaften erzielten Einkünfte oder einer Annahme von Geschäftsbetrieben bzw. Betriebsstätten in Israel als voraussichtlich erheblich für die Besteuerung der betroffenen Personen 1 und 2 erweisen.</w:t>
      </w:r>
    </w:p>
    <w:p>
      <w:r>
        <w:rPr>
          <w:b/>
        </w:rPr>
        <w:t>E. 4.11</w:t>
      </w:r>
    </w:p>
    <w:p>
      <w:r>
        <w:t>Nach dem Dargelegten ist zusammenfassend festzuhalten, dass die vom MoF ersuchten Informationen (vgl. Sachverhalt Bst. A.a) amtshilfeweise zu übermitteln sind. Die angefochtene Schlussverfügung ist nicht zu beanstanden. Einzig der Hinweis auf die Verwendungsbeschränkung der übermittelten Daten wird zu konkretisieren sein (E. 4.6).</w:t>
      </w:r>
    </w:p>
    <w:p>
      <w:r>
        <w:rPr>
          <w:b/>
        </w:rPr>
        <w:t>E. 5</w:t>
      </w:r>
    </w:p>
    <w:p>
      <w:r>
        <w:t>Es bleibt, auf die Kosten- und Entschädigungsfolgen des vorliegenden Beschwerdeverfahrens einzugehen:</w:t>
      </w:r>
    </w:p>
    <w:p>
      <w:r>
        <w:rPr>
          <w:b/>
        </w:rPr>
        <w:t>E. 5.1</w:t>
      </w:r>
    </w:p>
    <w:p>
      <w:r>
        <w:t>Die Verfahrenskosten werden in der Regel der unterliegenden Partei auferlegt (Art. 63 Abs. 1 VwVG). Unterliegt diese nur teilweise, so werden die Verfahrenskosten ermässigt (Art. 63 Abs. 1 VwVG). Insgesamt sind die Verfahrenskosten - unter Berücksichtigung des marginalen Obsiegens der Beschwerdeführerin sowie von Synergien bei der Behandlung der sieben Parallelverfahren - auf Fr. 3'500.-- festzusetzen (vgl. Art. 2 Abs. 1 in Verbindung mit Art. 4 des Reglements vom 21. Februar 2008 über die Kosten und Entschädigungen vor dem Bundesverwaltungsgericht [VGKE; SR 173.320.2]) und der Beschwerdeführerin aufzuerlegen. Letzterer Betrag ist dem geleisteten Kostenvorschuss von Fr. 5'000.-- zu entnehmen. Der Restbetrag von Fr. 1'500.-- ist der Beschwerdeführerin nach Eintritt der Rechtskraft des vorliegenden Urteils zurückzuerstatten.</w:t>
      </w:r>
    </w:p>
    <w:p>
      <w:r>
        <w:rPr>
          <w:b/>
        </w:rPr>
        <w:t>E. 5.2</w:t>
      </w:r>
    </w:p>
    <w:p>
      <w:r>
        <w:t>Im vorliegenden Fall obsiegt die Beschwerdeführerin in marginalem Umfang. Ihr ist entsprechend keine Parteientschädigung zuzusprechen (vgl. Art. 64 Abs. 1 VwVG; Art. 7 Abs. 2 VGKE).</w:t>
      </w:r>
    </w:p>
    <w:p>
      <w:r>
        <w:rPr>
          <w:b/>
        </w:rPr>
        <w:t>E. 6</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