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A-6873/2010 vom 7. März 2011</w:t>
      </w:r>
    </w:p>
    <w:p>
      <w:r>
        <w:t>Bundesverwaltungsgericht, 2011-03-07, FR</w:t>
      </w:r>
    </w:p>
    <w:p>
      <w:r>
        <w:rPr>
          <w:b/>
        </w:rPr>
        <w:t xml:space="preserve">Quelle: </w:t>
      </w:r>
      <w:r>
        <w:t>https://mcp.opencaselaw.ch/entscheid/bvger_A-6873_2010</w:t>
      </w:r>
    </w:p>
    <w:p>
      <w:r>
        <w:t>FR: TAF A-6873/2010 du 7 mars 2011</w:t>
      </w:r>
    </w:p>
    <w:p>
      <w:r>
        <w:t>IT: TAF A-6873/2010 del 7 marzo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A-3817/2008 du 20 juillet 2010 consid. 1.3.1 et A-6556/2010 du 7 janvier 2011 consid. 1.3.1).</w:t>
      </w:r>
    </w:p>
    <w:p>
      <w:r>
        <w:rPr>
          <w:b/>
        </w:rPr>
        <w:t>E. 1.2.2</w:t>
      </w:r>
    </w:p>
    <w:p>
      <w:r>
        <w:t>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B-3023/2009 du 4 mai 2010 consid. 1.3.3 et 1.3.5 et A-6556/2010 du 7 janvier 2011 consid. 1.3.1 et les références citées).</w:t>
      </w:r>
    </w:p>
    <w:p>
      <w:r>
        <w:rPr>
          <w:b/>
        </w:rPr>
        <w:t>E. 1.2.3</w:t>
      </w:r>
    </w:p>
    <w:p>
      <w:r>
        <w:t>En l'occurrence, tant le recourant 1 que la recourante 2 sont visés dans l'intitulé de la décision entreprise. Ils sont spécialement atteints par cette dernière, le premier en tant que bénéficiaire économique présumé du compte bancaire concerné et la seconde en tant que détentrice dudit compte et cocontractant d'UBS SA. Les deux recourants se trouvent ainsi dans un rapport particulier avec la contestation. Ils ont au demeurant un intérêt à l'annulation ou la modification de la décision attaquée et ont ou auraient dû participer à la procédure devant l'autorité inférieure. Ils disposent par conséquent de la qualité pour recourir (cf. art. 48 al. 1 PA).</w:t>
      </w:r>
    </w:p>
    <w:p>
      <w:r>
        <w:rPr>
          <w:b/>
        </w:rPr>
        <w:t>E. 1.3</w:t>
      </w:r>
    </w:p>
    <w:p>
      <w:r>
        <w:t>Interjeté dans la forme (cf. art. 52 PA) et le délai (cf. art. 50 al. 2 PA) prescrits par la loi, le recours est recevable si bien qu'il y a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n.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A-4935/2010 du 11 octobre 2010 consid. 3.1 et A-4936/2010 du 21 septembre 2010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A-4911/2010 du 30 novembre 2010 consid. 1.4.1 et les références citées; cf. également Moser/Beusch/Kneubühler, op. cit., n.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A-6053/2010 du 10 janvier 2011 consid. 1.5 et les références citées, A-4911/2010 du 30 novembre 2010 consid. 1.4.2 et 1.4.3, A-4013/2010 du 15 juillet 2010 consid. 2.2 et les références citées).</w:t>
      </w:r>
    </w:p>
    <w:p>
      <w:r>
        <w:rPr>
          <w:b/>
        </w:rPr>
        <w:t>E. 3.1</w:t>
      </w:r>
    </w:p>
    <w:p>
      <w:r>
        <w:t>Les recourants considèrent qu'UBS SA doit être invitée à se déterminer sur le montant exact des gains en capital réalisés (cf. les faits let. J ci-avant).</w:t>
      </w:r>
    </w:p>
    <w:p>
      <w:r>
        <w:rPr>
          <w:b/>
        </w:rPr>
        <w:t>E. 3.2</w:t>
      </w:r>
    </w:p>
    <w:p>
      <w:r>
        <w:t>Le droit d'administrer des preuves suppose que le fait à prouver soit pertinent et que le moyen de preuve proposé soit nécessaire pour constater ce fait (cf. arrêt du Tribunal fédéral 2P.120/2002 du 5 août 2002 consid. 2.4; arrêt du Tribunal administratif fédéral A-7156/2010 du 17 janvier 2011 consid. 3.2). Or, les chiffres mentionnés en devises étrangères figurant dans la décision entreprise ne sont pas contestés par les recourants. Ces derniers - outre le fait qu'une vente n'aurait pas été prise en compte par UBS SA et par l'AFC - ne remettent en cause que le calcul des gains en capital réalisés et critiquent l'autorité inférieure parce qu'elle n'a pas pris en considération les prix d'achat, mais uniquement les prix de vente auxquels elle a appliqué un coefficient de 50%. Le Tribunal de céans s'est déjà prononcé sur le calcul du gain en capital dans le cadre de la Convention 10 (cf. consid. 7.2 ci-après), si bien qu'il n'est pas utile d'interpeler UBS SA sur ce point.</w:t>
      </w:r>
    </w:p>
    <w:p>
      <w:r>
        <w:rPr>
          <w:b/>
        </w:rPr>
        <w:t>E. 3.3</w:t>
      </w:r>
    </w:p>
    <w:p>
      <w:r>
        <w:t>Pour le surplus, le Tribunal administratif fédéral relève qu'au vu du dossier, l'état de fait est suffisamment complet pour qu'il puisse statuer en toute connaissance de cause.</w:t>
      </w:r>
    </w:p>
    <w:p>
      <w:r>
        <w:rPr>
          <w:b/>
        </w:rPr>
        <w:t>E. 4.1</w:t>
      </w:r>
    </w:p>
    <w:p>
      <w:r>
        <w:t>Les recourants considèrent que l'autorité inférieure aurait violé leur droit d'être entendu en leur fixant un délai non prolongeable pour se déterminer. Elle aurait en outre omis de statuer sur leur demande de prolongation de délai pour déposer des pièces supplémentaires.</w:t>
      </w:r>
    </w:p>
    <w:p>
      <w:r>
        <w:rPr>
          <w:b/>
        </w:rPr>
        <w:t>E. 4.2.1</w:t>
      </w:r>
    </w:p>
    <w:p>
      <w:r>
        <w:t>Le droit d'être entendu est de nature formelle, ce qui signifie que sa violation suffit en principe à entraîner l'annulation de la décision attaquée indépendamment des chances de succès du recours sur le fond (cf. ATF 134 V 97, 127 V 431 consid. 3d/aa p. 437). Le motif relatif à ce moyen de droit doit donc être examiné en priorité (cf. ATF 124 I 49 consid. 1).</w:t>
      </w:r>
    </w:p>
    <w:p>
      <w:r>
        <w:rPr>
          <w:b/>
        </w:rPr>
        <w:t>E. 4.2.2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p. 335), celui d'avoir accès au dossier (cf. ATF 132 II 485 consid. 3.2, 131 V 35 consid. 4.2, 129 I 249 consid. 4.1) ainsi que celui de participer à l'administration des preuves, d'en prendre connaissance, de se déterminer à leur propos et d'obtenir une décision motivée (cf. ATF 135 I 279 consid. 2.3 p. 282, 132 V consid. 3.1 p. 370, 129 I 249 consid. 3, 127 I 54 consid. 2b p. 56, 126 I 15 consid. 2a/aa).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(cf. ATF 126 I 97 consid. 2b et les arrêts cités; arrêt du Tribunal fédéral 4P.312/2006 du 27 février 2007 consid. 6.1; arrêts du Tribunal administratif fédéral A-6556/2010 du 7 janvier 2011 consid. 5.1.2 et A-3939/2010 du 18 octobre 2010 consid. 4.2). Le droit d'être entendu (cf. art. 29 al. 2. Cst.) implique notamment l'obligation, pour l'autorité, de prendre position sur les conclusions et requêtes qui lui sont soumises. Cette obligation se limite toutefois aux arguments et conclusions qui présentent une pertinence pour l'issue de la cause (cf. arrêt du Tribunal fédéral 1A.96/2003 du 25 juin 2003 consid. 1.1). En ce qui concerne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A-3939/2010 du 18 octobre 2010 consid. 4.1 et C-17/2010 du 13 juillet 2010 consid. 3.1; MOOR, op. cit., ch. 2.2.7.3 p. 281).</w:t>
      </w:r>
    </w:p>
    <w:p>
      <w:r>
        <w:rPr>
          <w:b/>
        </w:rPr>
        <w:t>E. 4.3.1</w:t>
      </w:r>
    </w:p>
    <w:p>
      <w:r>
        <w:t>Selon l'art. 22 al. 2 PA, le délai imparti par l'autorité peut être prolongé pour des motifs suffisants si la partie en fait la demande avant son expiration. Lorsque, comme en l'espèce, la loi ne fixe pas la durée des délais fixés par l'autorité, cette tâche incombe à l'autorité. Cette dernière tient compte de ce qui est adéquat s'agissant de l'acte de procédure en cause, ce qui signifie que le délai doit être fixé de manière à ce que la partie puisse le respecter dans des conditions acceptables (cf. Urs Peter Cavelti, in Auer/Müller/Schindler [Editeurs], Kommentar zum Bundesgesetz über das Verwaltungsverfahren [VWVG], Zurich/St-Gall 2008, no 8 ad art. 22 PA). Il convient en particulier de tenir compte des principes de célérité et d'égalité de traitement des parties. Un délai de deux semaines à un mois est en règle générale accordé pour produire des documents ou pour se déterminer. Des délais plus courts, par exemple de 10 jours, peuvent se justifier lorsqu'il s'agit de procédures simples ou d'affaires devant être traitées rapidement. Des délais supplémentaires pour compléter des prises de positions doivent, sauf exceptions, être courts (quelques jours). Des délais plus longs, de plus de 30 jours sont appropriées lorsqu'il s'agit d'actes de procédure complexes ou requérant plus de temps (cf. Cavelti, op. cit., no 8 ad art. 22 PA et les références citées).</w:t>
      </w:r>
    </w:p>
    <w:p>
      <w:r>
        <w:rPr>
          <w:b/>
        </w:rPr>
        <w:t>E. 4.3.2</w:t>
      </w:r>
    </w:p>
    <w:p>
      <w:r>
        <w:t>La demande de prolongation du délai doit être présentée avant l'expiration de celui-ci (cf. art. 22 al. 2 PA). L'art. 22 al. 2 PA précité précise que le délai "peut" être prolongé, si bien que l'administré n'a pas de droit à ce que le délai soit prolongé. L'autorité doit bien plus examiner dans chaque cas si une prolongation du délai s'impose. Elle prend sa décision compte tenu de la nature de l'affaire, des intérêts en jeu et des circonstances de la procédure concernée. Elle tient également compte des intérêts des parties, dans la mesure où ceux-ci agissent en conformité avec les principes de la bonne foi, selon lesquels il convient d'éviter tout acte susceptible de ralentir inutilement le cours ordinaire de la procédure (cf. Bernard Maître/Vanessa Thalmann [Fabia Bochsler], in Berhard Waldmann/Philippe Weissenberger [Editeurs], Praxiskommentar zum Bundesgesetz über das Verwaltungsverfahren, Zurich/Bâle/Genève 2009, no 10 ad art. 22 PA).</w:t>
      </w:r>
    </w:p>
    <w:p>
      <w:r>
        <w:rPr>
          <w:b/>
        </w:rPr>
        <w:t>E. 4.3.3</w:t>
      </w:r>
    </w:p>
    <w:p>
      <w:r>
        <w:t>Le délai supplémentaire de l'art. 22 al. 2 PA peut être accordée par l'autorité à la double condition que la partie en fasse la demande avant son expiration et que celle-ci soit fondée sur des motifs suffisants. L'autorité doit en effet être en mesure de vérifier que la démarche n'a pas simplement un but dilatoire (cf. Benoît Bovey, Procédure administrative, Berne 2000, p. 379). Lorsque l'autorité rend la partie attentive au fait qu'une prolongation (supplémentaire) est exclue, une telle prolongation ne peut être accordée qu'en cas de nécessité. Ce "délai de nécessité" doit être suffisamment documenté (cf. arrêt du Tribunal fédéral 6P.115/2006 du 17 août 2006 consid. 1; Maître/Thalmann [Bochsler], op. cit., no 20 ad art. 22 PA). Les motifs invoqués à l'appui d'une telle demande doivent être des motifs qualifiés, qui justifierait une restitution du délai ou qui ont un poids similaire (cf. Cavelti, op.cit., no 18 ad art. 22 PA).</w:t>
      </w:r>
    </w:p>
    <w:p>
      <w:r>
        <w:rPr>
          <w:b/>
        </w:rPr>
        <w:t>E. 4.3.4</w:t>
      </w:r>
    </w:p>
    <w:p>
      <w:r>
        <w:t>En vertu de l'art. 32 PA, l'autorité apprécie tous les allégués important qu'une partie a avancés en temps utile (al. 1); elle peut prendre en considération des allégués tardifs s'ils paraissent décisifs (al. 2). Bien que la disposition précitée ne soit pas applicable à la procédure en matière fiscale (art. 2 al.1 PA), les règles qu'elle contient trouvent néanmoins application, car elles découlent du droit d'être entendu (cf. art. 29 al. 2 Cst.; cf. René Rhinow/Heinrich Koller/Christina Kiss/Daniela Thurnherr/Denise Brühl-Moser, Oeffentliches Prozessrecht, 2ème éd., Bâle 2010, p. 116-117) et de la maxime inquisitoire qui régit la procédure administrative (cf. Clémence Grisel, L'obligation de collaborer des parties en procédure administrative, thèse Fribourg 2008, p. 49; cf. également arrêt du Tribunal administratif fédéral A-122/2010 du 24 décembre 2010 consid. 4.1 et 4.2 et les références citées).</w:t>
      </w:r>
    </w:p>
    <w:p>
      <w:r>
        <w:rPr>
          <w:b/>
        </w:rPr>
        <w:t>E. 4.4.1</w:t>
      </w:r>
    </w:p>
    <w:p>
      <w:r>
        <w:t>Les recourants expliquent que le recourant 1 était en *** à la fin du mois de juillet 2010 et qu'il avait dû être hospitalisé le 21 juillet 2010 pour un problème de santé. Compte tenu du court délai imparti par l'autorité inférieure, de la période estivale et du séjour à l'étranger du recourant 1, il n'aurait pas été possible de réunir toutes les pièces pertinentes. La demande de délai supplémentaire formulée par le recourant 1 dans ses observations du 15 juillet 2010 aurait donc été justifiée par des motifs objectifs et n'était pas dilatoire ou abusive. L'AFC n'aurait par ailleurs jamais statué sur cette requête, ce qui constituerait un déni de justice. Les recourants considèrent en outre qu'une première prolongation de délai devrait généralement être admise. Ils reprochent enfin à l'autorité inférieure de ne pas avoir examiné les arguments invoqués par le recourant 1 devant elle.</w:t>
      </w:r>
    </w:p>
    <w:p>
      <w:r>
        <w:rPr>
          <w:b/>
        </w:rPr>
        <w:t>E. 4.4.2</w:t>
      </w:r>
    </w:p>
    <w:p>
      <w:r>
        <w:t>L'autorité inférieure relève avoir fixé aux recourants, par courrier du 1er juin 2010, un délai non prolongeable au 19 juillet 2010. Elle estime qu'un délai de plus de un mois et demi (48 jours exactement) était suffisant pour déposer les observations avant terme et réunir des pièces complémentaires, ce d'autant plus que le dossier officiel avait été transmis à la mandataire des recourants le 22 mars 2010 déjà, soit plus de deux mois avant que le délai pour déposer les observations ne soit imparti. Les recourants auraient ainsi eu largement le temps d'analyser les documents bancaires et de réunir les pièces utiles. L'AFC admet ne pas avoir donné de suite à la requête de prolongation du délai des recourants pour déposer des pièces complémentaires, mais considère qu'une telle requête, motivée uniquement par la difficulté à obtenir certaines pièces en raison de la période estivale, aurait d'emblée été vouée à l'échec. Elle relève en outre que les ennuis de santé du recourant 1 invoqués pour justifier la prolongation du délai pour déposer les observations complémentaires s'étaient produits postérieurement à l'expiration du délai pour déposer les observations et n'avaient au demeurant jamais été avancés dans le cadre de la procédure devant l'autorité inférieure. Par ailleurs, les recourants avaient été représentés par une mandataire professionnelle connaissant les principes de la procédure administrative et la maxime inquisitoire régissant l'entraide administrative et savaient donc qu'une production tardive serait prise en compte. La décision entreprise du 23 août 2010 ayant été notifiée plus d'un mois après l'expiration du délai pour déposer les observations, les recourants auraient disposé de suffisamment de temps pour réunir les documents complémentaires qu'ils souhaitaient produire.</w:t>
      </w:r>
    </w:p>
    <w:p>
      <w:r>
        <w:rPr>
          <w:b/>
        </w:rPr>
        <w:t>E. 4.4.3</w:t>
      </w:r>
    </w:p>
    <w:p>
      <w:r>
        <w:t>Par courrier du 27 janvier 2010, A._______ a informé l'autorité inférieure être mandatée par le recourant 1 dans le cadre de la procédure d'entraide administrative le concernant. Le recourant 1 a contesté dans cette lettre être l'ayant droit économique des avoirs déposés sur le compte bancaire UBS numéro *** détenu par la recourante 2. Il a également sollicité un délai au 26 février 2010 pour déposer ses déterminations et fournir les pièces. L'autorité inférieure lui a répondu par courrier du 1er février 2010 ne pas être encore en possession du dossier en cause. Elle lui a transmis l'intégralité du dossier le 22 mars 2010. Le 1er juin 2010, elle lui a offert la possibilité d'autoriser l'AFC à se faire remettre par l'IRS une copie des « Reports of Foreign Bank and Financial Accounts » (ci-après : FBAR) et lui a en outre imparti un délai, en principe non prolongeable, jusqu'au 19 juillet 2010 pour faire parvenir ses éventuelles observations. Par acte du 15 juillet 2010, le recourant 1 a déposé ses observations et joint un onglet de pièces. Il a également sollicité "la fixation d'un délai pour produire des pièces complémentaires destinées à corroborer les faits allégués". A l'appui de sa requête, il a "exposé qu'en raison de la période estivale, certaines pièces n'ont pas pu être réunies dans le délai imparti". Compte tenu de ce qui précède, le recourant 1 était au courant, dès le mois de janvier 2010, du fait que les informations relatives au compte UBS numéro *** détenu par la recourante 2 pourraient faire l'objet d'une procédure d'entraide administrative et qu'il était présumé en être l'ayant droit économique. Il a, également depuis cette date, contesté sa qualité de bénéficiaire économique du compte précité, si bien qu'il a pu, à partir de ce moment, préparer sa défense et réunir les documents qui, selon lui, étaient susceptibles de prouver ses allégations. Le 22 mars 2010, l'autorité inférieure lui a par ailleurs transmis l'intégralité du dossier en sa possession. Il avait ainsi déjà disposé de plus de deux mois pour préparer sa défense, en ayant connaissance de l'ensemble des documents pertinents, lorsque, le 1 juin 2010, l'AFC lui a fixé un délai, en principe non prolongeable, jusqu'au 19 juillet 2010. Compte tenu de tous ces éléments, le recourant 1 a disposé d'un laps de temps largement suffisant pour se déterminer. L'autorité inférieure, dans le cadre de son large pouvoir d'appréciation et compte tenu de l'engagement pris par la Suisse de traiter la demande d'entraide de l'IRS selon une procédure accélérée (cf. art. 1 de la Convention 10), n'était pas tenue de lui accorder de délai supplémentaire pour produire des pièces complémentaires. Elle n'était pas non plus obligée d'accorder un "délai de nécessité", dès lors que les motifs invoqués ne répondaient pas aux exigences accrues de motivation (cf. consid. 4.3.3 ci-avant). En outre, le 15 juillet 2010, au moment d'envoyer ses déterminations, le recourant 1 disposait encore de quatre jours jusqu'à l'expiration du délai qui lui était fixé, c'est-à-dire d'un laps de temps correspondant au délai de nécessité. Au demeurant, le recourant 1 n'était pas sans ignorer qu'en raison de la maxime inquisitoire applicable, l'AFC devait prendre en considération les allégués tardifs s'ils paraissaient décisifs (cf. consid. 4.3.4 ci-avant). Enfin, les problèmes de santé dont se prévaut le recourant 1 ne se sont produits que postérieurement à l'expiration du délai fixés et n'ont pas été invoqués devant l'autorité inférieure. L'autorité inférieure ayant rendu sa décision le 23 août 2010, le recourant 1 a pu constater que l'AFC avait refusé sa requête, quoique de manière implicite. Le recourant 1 ne s'était au demeurant pas soucié du sort réservé à sa demande. Or, le principe de la bonne foi aurait voulu que face au silence de l'AFC, il interpella cette dernière ou produisit spontanément les pièces qu'il estimait décisives. Dépourvue de toute motivation substantielle, la requête du recourant 1, formulée dans le cadre de ses observations déposées devant l'autorité inférieure, n'appelait, à son tour, pas de motivation spécifique de l'AFC. Son rejet implicite ne prête pas le flanc à la critique, dès lors en particulier que le recourant 1 a pu s'exprimer sur le fond, et obtenir ainsi le respect de son droit d'être entendu.</w:t>
      </w:r>
    </w:p>
    <w:p>
      <w:r>
        <w:rPr>
          <w:b/>
        </w:rPr>
        <w:t>E. 4.4.4</w:t>
      </w:r>
    </w:p>
    <w:p>
      <w:r>
        <w:t>En l'espèce, la décision entreprise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1 était le bénéficiaire économique de la relation bancaire dont la recourante 2 était la titulaire. Elle a également résumé les arguments invoqués par le recourant 1 et, pour les réfuter, a renvoyé aux considérants précédents. Bien que cette motivation paraisse succincte, elle permettait au recourant 1 de comprendre notamment que ses objections n'étaient pas considérées comme suffisantes par l'autorité inférieure. La décision attaquée satisfait aux exigences de motivation et le grief des recourants doit être écarté.</w:t>
      </w:r>
    </w:p>
    <w:p>
      <w:r>
        <w:rPr>
          <w:b/>
        </w:rPr>
        <w:t>E. 5.1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A-4835/2010 du 11 janvier 2011 consid. 5.1.1 et A-4876/2010 du 11 octobre 2010 consid. 3.1).</w:t>
      </w:r>
    </w:p>
    <w:p>
      <w:r>
        <w:rPr>
          <w:b/>
        </w:rPr>
        <w:t>E. 5.2</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A-4835/2010 du 11 janvier 2011 consid. 5.1.5, A-4876/2010 du 11 octobre 2010 consid. 3.1 et A-4013/2010 du 15 juillet 2010 consid. 6.5.2).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A-7094/2010 du 21 janvier 2011 consid. 4.1.4 et A-4904/2010 du 11 janvier 2011 consid. 4.2).</w:t>
      </w:r>
    </w:p>
    <w:p>
      <w:r>
        <w:rPr>
          <w:b/>
        </w:rPr>
        <w:t>E. 5.3</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en particulier les critères relatifs au calcul du revenu et de la valeur des compte-titres ou des comptes de dépôt - sont adéquats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 l'AFC sont fondés sur des erreurs de calcul (cf. arrêt du Tribunal administratif fédéral A-4013/2010 du 15 juillet 2010 consid. 8.3.3 et les références citées; cf. également arrêts du Tribunal administratif fédéral A-4835/2010 du 11 janvier 2011 consid. 5.1.6 et A-4876/2010 du 11 octobre 2010 consid. 3.1).</w:t>
      </w:r>
    </w:p>
    <w:p>
      <w:r>
        <w:rPr>
          <w:b/>
        </w:rPr>
        <w:t>E. 5.4</w:t>
      </w:r>
    </w:p>
    <w:p>
      <w:r>
        <w:t>Compte tenu de ce qui précède, les griefs tirés de la violation du principe de non-rétroactivité invoqués par les recourants doivent d'emblée être rejetés.</w:t>
      </w:r>
    </w:p>
    <w:p>
      <w:r>
        <w:rPr>
          <w:b/>
        </w:rPr>
        <w:t>E. 6</w:t>
      </w:r>
    </w:p>
    <w:p>
      <w:r>
        <w:t>Les recourants allèguent en substance que, contrairement à ce qui figure sur le formulaire A rempli par la recourante 2, le recourant 1 ne serait pas le bénéficiaire économique du compte UBS litigieux. Les critères contenus dans l'annexe à la Convention 10 permettant d'accorder l'entraide administrative ne seraient pas remplis dans leur cas.</w:t>
      </w:r>
    </w:p>
    <w:p>
      <w:r>
        <w:rPr>
          <w:b/>
        </w:rPr>
        <w:t>E. 6.1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 seule déterminante (cf. arrêt du Tribunal administratif fédéral A-4013/2010 du 15 juillet 2010 consid. 7.1) - de l'annexe à la Convention 10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de « tax fraud or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6.2</w:t>
      </w:r>
    </w:p>
    <w:p>
      <w:r>
        <w:t>Dans l'arrêt A-6053/2010 du 10 janvier 2011, le Tribunal administratif fédéral s'est prononcé - s'agissant d'un dossier ayant également concerné la catégorie 2/B/b - notamment sur le critère « ayants droit économiques » (dans la version anglaise, seule déterminante, de l'annexe à la Convention 10 : « beneficially owned »). Il est arrivé à la conclusion que ce critère devait être interprété de manière autonome, conformément aux règles générales contenues à l'art. 31 ss CV (cf. arrêt du Tribunal administratif fédéral A-6053/2010 du 10 janvier 2011 consid. 5.3). Il en avait déjà jugé ainsi s'agissant du terme « US domiciled » (cf. arrêt du Tribunal administratif fédéral A-4911/2010 du 30 novembre 2010 consid. 4.3).</w:t>
      </w:r>
    </w:p>
    <w:p>
      <w:r>
        <w:rPr>
          <w:b/>
        </w:rPr>
        <w:t>E. 6.2.1</w:t>
      </w:r>
    </w:p>
    <w:p>
      <w:r>
        <w:t>Le Tribunal de céans a retenu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w:t>
      </w:r>
    </w:p>
    <w:p>
      <w:r>
        <w:rPr>
          <w:b/>
        </w:rPr>
        <w:t>E. 6.2.2</w:t>
      </w:r>
    </w:p>
    <w:p>
      <w:r>
        <w:t>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w:t>
      </w:r>
    </w:p>
    <w:p>
      <w:r>
        <w:rPr>
          <w:b/>
        </w:rPr>
        <w:t>E. 6.3.1</w:t>
      </w:r>
    </w:p>
    <w:p>
      <w:r>
        <w:t>En l'espèce, les recourants font valoir que l'actionnaire unique de la recourante 2 était la société Z._______ Cette dernière société avait été constituée pour le financement d'un projet d'investissement de X.A._______, épouse du recourant 1, et B._______. L'administrateur unique de la recourante 2, C._______, aurait par ailleurs confirmé que la société Z._______ était seule actionnaire de la recourante 2, à titre fiduciaire pour X.A._______. Le recourant 1 n'aurait, lui, jamais exercé de fonction dirigeante au sein de la recourante 2 et n'aurait jamais participé, ni directement, ni indirectement, dans cette dernière, qui appartiendrait exclusivement à X.A._______. Les recourants expliquent en outre, pièces à l'appui, que durant les années 2001 et 2008, seuls deux montants ont été crédités sur le compte bancaire UBS détenu par la recourante 2. Aucun de ces deux apports n'appartiendrait au recourant 1. Les transferts et les opérations à la base de ces transferts sont documentés par les recourants et ils considèrent qu'à leur lecture « UBS avait la preuve que la somme créditée appartenait exclusivement à l'épouse » du recourant 1. La provenance des fonds et leur propriété économique seraient en outre confirmées par différents documents, joints au recours. Ainsi, par exemple, dans un courrier du 6 septembre 2010, C._______, administrateur de la recourante 2, atteste que le montant de USD 776'000 proviendrait de la vente de titres qui appartenaient en exclusivité à X.A._______ (cf. pièce no 27 du dossier des recourants). Les recourants précisent encore que c'est à tort que C._______, administrateur de la recourante 2, aurait indiqué sur le formulaire A que l'ayant droit économique des valeurs patrimoniales était le recourant 1. Il aurait d'ailleurs reconnu son erreur dans un courrier du 6 septembre 2010.</w:t>
      </w:r>
    </w:p>
    <w:p>
      <w:r>
        <w:rPr>
          <w:b/>
        </w:rPr>
        <w:t>E. 6.3.2</w:t>
      </w:r>
    </w:p>
    <w:p>
      <w:r>
        <w:t>Se basant sur les documents transmis par UBS SA, l'AFC a admis que le recourant 1 était l'ayant droit économique du compte UBS détenu par la recourante 2. Dans sa réponse du 8 novembre 2010, elle a expliqué que les documents déposés par les recourants n'étaient pas déterminants pour mettre en doute la véracité du formulaire A signé par le directeur et administrateur de la recourante 2, titulaire du compte bancaire concerné. Les documents d'identité du recourant 1 figuraient en outre dans le dossier officiel de la banque, ce qui paraissait paradoxal si on en croyait les explications des recourants. Le courrier de C._______, daté du 6 septembre 2010, était par ailleurs établi postérieurement à la décision entreprise, si bien qu'il paraissait établi pour les besoins de la cause. Compte tenu des contradictions entre les explications fournies par les recourants et la limpidité du dossier officiel, l'AFC ne pouvait s'écarter de ce dernier.</w:t>
      </w:r>
    </w:p>
    <w:p>
      <w:r>
        <w:rPr>
          <w:b/>
        </w:rPr>
        <w:t>E. 6.3.3</w:t>
      </w:r>
    </w:p>
    <w:p>
      <w:r>
        <w:t>Comme le précise l'AFC, dans les documents bancaires, seul le recourant 1 est mentionné comme bénéficiaire économique et une copie de son passeport est joint au formulaire A, daté du 23 juillet 2002, dûment signé par l'administrateur de la recourante 2, C._______ (cf. pièce no ***_4_00088 ss). Par ailleurs, le « Picturing BO » (cf. pièce no ***_3_0004) daté du 31 décembre 2007 mentionne la nationalité américaine du bénéficiaire économique et précise ce qui suit : « Origine des fonds : produit du travail et vente d'une entreprise. Le BO a d'autres comptes UBS/+++ [...] 3 fils, [...] Epouse, X.A._______ née le ***. Elle femme au foyer ». Cette description ne pouvait donc que viser le recourant 1 et non pas son épouse. S'agissant du montant de USD 776'000.-- crédité en 2002, il est précisé que ce montant correspond « à une partie du produit de la vente de la société (D._______) que l'ayant droit économique détient ». Cette mention ne pouvait donc, également, que concerner le recourant 1, dès lors qu'elle figure sur la même pièce du dossier officiel (cf. pièce no ***_3_0005). Il est vrai que le contrat de vente invoqué par les recourants figure également au dossier d'UBS SA (cf. pièces no ***_5_00009 à 00013) et que X.A._______ est mentionnée comme titulaire des actions de la société D._______ sur l'ordre de mouvement desdites actions (cf. pièce no ***_5_00014; cf. également pièce no 32 du dossier des recourants). Le contrat de vente précité est toutefois conclu entre X.A._______ et X._______ d'une part et *** d'autre part. X.A._______ et X._______ y sont désignés comme cédants et sont intervenus « conjointement et solidairement ». Le montant versé sur le compte UBS concerné pouvait ainsi représenter, aux yeux de la banque, la part du produit du prix de vente revenant au recourant 1. Le contrat de vente concerné - dont plusieurs pages manquent (p.ex. les pages 5 à 13 du contrat figurant au dossier de l'AFC et les pages 9 à 13 de la pièce no 32 des recourants) - prévoit en effet un versement, respectivement, de EURO 1'225'690 le 30 avril 2002 et de EURO 381'123 le 30 avril 2003 en faveur du recourant 1 (cf. pièce no 32 du dossier des recourants, p. 8). Même si la thèse défendue par les recourants semble être corroborée par les pièces produites et concorder avec les pièces figurant au dossier officiel (cf. pièces no 28 et 29 du dossier des recourants attestant du versement de EURO 1'225'690 sur le compte du E._______ et pièce no ***_5_00015 contenant une copie du chèque portant sur EURO 5'335'716 en faveur de X.A._______; cf. également pièce no 32 du dossier des recourants) - pièces qui prouvent que le montant dû au recourant 1 en raison de la vente précitée a été versé sur un compte détenu par le recourant 1 auprès du E._______ - il n'en demeure pas moins qu'elles ne répondent pas aux exigences strictes en matière de preuve de la présente procédure d'entraide administrative (cf. consid. 2.4 ci-avant). En particulier, elles ne permettent pas de réfuter de manière claire et décisive les soupçons fondés, selon lesquels le recourant 1 était le bénéficiaire économique du compte bancaire UBS numéro *** détenu par la recourante 2. S'agissant des autres pièces produites par les recourants, le courrier de ***, décrivant les différents virements bancaires et les raisons pour lesquelles ils ont été effectués, a été établi le 9 juillet 2010, soit postérieurement à l'ouverture de la procédure d'entraide administrative (cf. pièce no 22 du dossier des recourants). Etablie après coup, pour les besoins de la cause, sa valeur probante est limitée (cf. arrêt du Tribunal administratif fédéral A-1107/2008 et A-1108/2008 du 15 juin 2010 consid. 8.2.2 et 9.1.2.2 et les références citées). Il en va de même des lettre de X.A._______ du 9 février 2010 (cf. pièce no 26 du dossier des recourants) et de la société anonyme +++ du 6 septembre 2010 adressées à l'avocate des recourants (cf. pièce no 27 du dossier des recourants). Ce dernier courrier contredit au demeurant l'affirmation du recourant 1, qui dit n'être jamais intervenu dans la gestion du compte bancaire en cause. Dans cette lettre, il est en effet précisé que X.A._______ aurait informé C._______ qu'il pouvait suivre les instructions de son mari et exécuter tous les ordres venant de sa part. C._______ estime ainsi dans ce courrier qu'il n'y avait à cette époque "[...] aucune raison de changer l'ayant droit économique du compte". Cette affirmation permet donc de conclure que C._______ considérait lui-même que le recourant 1 était effectivement l'ayant droit économique du compte bancaire UBS numéro ***. Par ailleurs, le fait que les époux X._______ ont déclaré au fisc *** la totalité des actions qu'ils détenaient dans la société D._______ est une question étrangère à celle de l'ayant droit économique, seule déterminante dans le cadre de la présente procédure.</w:t>
      </w:r>
    </w:p>
    <w:p>
      <w:r>
        <w:rPr>
          <w:b/>
        </w:rPr>
        <w:t>E. 6.3.4</w:t>
      </w:r>
    </w:p>
    <w:p>
      <w:r>
        <w:t>Par conséquent et au vu de ce qui précède, il y a lieu de constater que l'AFC disposait de suffisamment d'éléments pour conclure que le recourant 1 était l'ayant droit économique du compte. L'état de fait, tel que constaté par l'AFC dans sa décision finale du 23 août 2010, n'apparaît dès lors pas manifestement erroné, lacunaire ou contradictoire. Les recourants ne parviennent à leur tour pas à réfuter de manière claire et décisive le soupçon initial qui paraît fondé (cf. consid. 2.4 ci-avant).</w:t>
      </w:r>
    </w:p>
    <w:p>
      <w:r>
        <w:rPr>
          <w:b/>
        </w:rPr>
        <w:t>E. 7.1</w:t>
      </w:r>
    </w:p>
    <w:p>
      <w:r>
        <w:t>Durant la période en cause, le recourant 1, qui est de nationalité américaine, était l'ayant droit économique du compte bancaire UBS numéro ***. Ce compte était détenu par la recourante 2 pendant les années 2001 à 2008. Le recourant 1 remplit ainsi les conditions de la Convention 10 relatives à sa personne. Le recourant 1 n'a pas autorisé l'AFC à demander à l'IRS des copies des déclarations FBAR pour la période concernée. Le compte bancaire concerné a existé pendant plus de trois, dont un an au moins durant la période 2001 à 2008. D'après la décision entreprise, des revenus d'au moins CHF 316'366.-- ont été réalisés pendant les années 2004 à 2006. Ce montant est composé d'intérêts et de dividendes à hauteur de CHF 22'117.-- et de gains en capital de CHF 294'249.--. Les recourants contestent ces chiffres et estiment que la totalité des gains réalisés sur les trois ans serait plus basse. Ils considèrent en effet qu'il conviendrait de tenir compte du prix d'achat des titres vendus. Ils font également valoir que la totalité des revenus net, incluant les intérêts et les dividendes s'élèverait à CHF 14'584.--.</w:t>
      </w:r>
    </w:p>
    <w:p>
      <w:r>
        <w:rPr>
          <w:b/>
        </w:rPr>
        <w:t>E. 7.2</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 du Tribunal administratif fédéral A-7094/2010 du 21 janvier 2011 consid. 5.3).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5.3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(du produit brut des ventes réalisées) prévu dans l'annexe à la Convention 10 ne pouvait notamment pas être suivi. Le Tribunal de céans a relevé que la version anglaise de l'annexe à la Convention 10 indiquait expressément - s'agissant toutefois de la catégorie 2/A/b, mais dont les termes sont en tous points identiques que ceux valant en l'occurrence pour la catégorie 2/B/b -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arrêts du Tribunal administratif fédéral A-7094/2010 du 21 janvier 2011 consid. 5.3, A-7156/2010 du 17 janvier 2011 consid. 6.2 et A-4013/2010 du 15 juillet 2010 consid.8.3.3 et les références citées).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arrêts du Tribunal administratif A-7156/2010 du 17 janvier 2011 consid. 6.2 et A-6053/2010 du 10 janvier 2011 consid. 2.3 et 2.4). Dans son arrêt précité A-4013/2010 du 15 juillet 2010, le Tribunal administratif fédéral a en outre considéré que l'AFC avait effectué ses calculs sur la base des cours du jour respectivement des cours annuels les plus bas, alors que la Convention 10 était silencieuse quant au mode de conversion d'une monnaie étrangère en francs suisses. Il a estimé que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bas, ces derniers cours étant en règle générale plus favorables aux personnes concernées. Bien plus, cette manière de procéder était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in : Archives de droit fiscal suisse [Archives] 78 p. 457 ss, p. 479 ss). L'AFC avait ainsi procédé de manière correcte lors de la conversion en francs suisses (cf. arrêts du Tribunal administratif fédéral A-7156/2010 du 17 janvier 2011 consid. 6.3 et A-4013/2010 du 15 juillet 2010 consid. 8.3.3).</w:t>
      </w:r>
    </w:p>
    <w:p>
      <w:r>
        <w:rPr>
          <w:b/>
        </w:rPr>
        <w:t>E. 7.3</w:t>
      </w:r>
    </w:p>
    <w:p>
      <w:r>
        <w:t>Les recourants ne mettent nullement en cause les considérants qui précèdent, qu'il convient au demeurant de confirmer.</w:t>
      </w:r>
    </w:p>
    <w:p>
      <w:r>
        <w:rPr>
          <w:b/>
        </w:rPr>
        <w:t>E. 7.3.1</w:t>
      </w:r>
    </w:p>
    <w:p>
      <w:r>
        <w:t>Conformément aux critères définis dans l'annexe à la Convention 10, l'AFC se devait de calculer les gains en capital en prenant en compte - pour toutes les ventes réalisées durant la période considérée sur le compte détenu par la recourante 2 auprès d'UBS SA - le 50% du produit brut. Ainsi, en appliquant - vraisemblablement dans le but d'appréhender avec plus d'exactitude la réalité - un quotient de 6.25% pour une transaction, alors que le quotient de 50% prescrit par l'annexe à la Convention 10 est appliqué pour d'autres transactions, l'AFC a calculé les revenus annuels moyens d'une manière plus favorable aux recourants que celle imposée par la Convention 10. En effet, selon les conditions définies dans ledit traité, il convient de prendre en considération le 50% du produit brut réalisé, indépendamment du résultat comptable effectif.</w:t>
      </w:r>
    </w:p>
    <w:p>
      <w:r>
        <w:rPr>
          <w:b/>
        </w:rPr>
        <w:t>E. 7.3.2</w:t>
      </w:r>
    </w:p>
    <w:p>
      <w:r>
        <w:t>Les recourants fournissent leur propre tableau de calcul et arrivent à la conclusion que le critère relatif au revenu annuel moyen sur trois ans ne serait pas atteint. La comparaison de leur tableau avec celui figurant dans la décision attaquée montre cependant que les montants de base, en francs suisses ou devises étrangères, sont identiques. Force est d'en conclure que les parties sont d'accord sur les chiffres, c'est-à-dire les prix de vente à la base des calculs, et que les avis ne divergent qu'en ce qui concerne le taux appliqué au gain en capital. Or, on vient de voir que les taux de change appliqués sont corrects (cf. consid. 7.2 ci-avant) et que la manière dont l'AFC a calculé lesdits gains était favorable aux recourants, puisque le quotient de 50% aurait dû être appliqué à toutes les ventes (cf. consid. 7.2 ainsi que 6.1 ci-avant). Les recourants font au demeurant valoir que l'autorité inférieure avait oublié une vente, si bien que le montant des gains en capital serait en réalité encore plus élevé que celui fixé dans la décision attaquée. Enfin, en ce qui concerne les intérêts et dividendes, les recourants n'expliquent pas pourquoi les chiffres figurant dans la décision attaquée, qui sont fondées sur les documents bancaires références, seraient faux. Ils semblent se baser exclusivement sur les attestations délivrées par UBS au sujet des revenus. Quoiqu'il en soit, même en tenant compte d'intérêts et de dividendes à hauteur de CHF 14'584.-- (chiffre avancé par les recourants) au lieu de CHF 22'117.-- (chiffre figurant dans la décision entreprise), le seuil de relatif aux revenus annuels moyens sur trois ans a été dépassé durant les années 2004 à 2006. Compte tenu de ce qui précède, les griefs des recourants quant au calcul du seuil de revenus annuels moyens sur trois ans sont mal fondés.</w:t>
      </w:r>
    </w:p>
    <w:p>
      <w:r>
        <w:rPr>
          <w:b/>
        </w:rPr>
        <w:t>E. 7.4</w:t>
      </w:r>
    </w:p>
    <w:p>
      <w:r>
        <w:t>Dans ces conditions, il y a lieu d'admettre que tous les critères de la catégorie 2/B/b sont remplis, de sorte que c'est à juste titre que l'AFC a décidé d'accorder l'entraide administrative sollicitée.</w:t>
      </w:r>
    </w:p>
    <w:p>
      <w:r>
        <w:rPr>
          <w:b/>
        </w:rPr>
        <w:t>E. 8</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des recourants, qui succombent, solidairement entre eux. Ce dernier montant est compensé avec l'avance de frais déjà versée de CHF 25'000.--, le solde étant restitué aux recourants. Une indemnité à titre de dépens n'est pas allouée aux recourants (cf. art. 64 al. 1 PA a contrario, respectivement art. 7 al. 1 FITAF a contrario).</w:t>
      </w:r>
    </w:p>
    <w:p>
      <w:r>
        <w:rPr>
          <w:b/>
        </w:rPr>
        <w:t>E. 9</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