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A-6871/2018 vom 8. April 2019</w:t>
      </w:r>
    </w:p>
    <w:p>
      <w:r>
        <w:t>Bundesverwaltungsgericht, 2019-04-08, FR</w:t>
      </w:r>
    </w:p>
    <w:p>
      <w:r>
        <w:rPr>
          <w:b/>
        </w:rPr>
        <w:t xml:space="preserve">Quelle: </w:t>
      </w:r>
      <w:r>
        <w:t>https://mcp.opencaselaw.ch/entscheid/bvger_A-6871_2018</w:t>
      </w:r>
    </w:p>
    <w:p>
      <w:r>
        <w:t>FR: TAF A-6871/2018 du 8 avril 2019</w:t>
      </w:r>
    </w:p>
    <w:p>
      <w:r>
        <w:t>IT: TAF A-6871/2018 del 8 aprile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la demande d'assistance litigieuse a été déposée le 25 janvier 2018, soit après l'entrée en vigueur de la LAAF le 1er février 2013.</w:t>
      </w:r>
    </w:p>
    <w:p>
      <w:r>
        <w:rPr>
          <w:b/>
        </w:rPr>
        <w:t>E. 1.2</w:t>
      </w:r>
    </w:p>
    <w:p>
      <w:r>
        <w:t>En l'occurrence, le recours respecte les exigences formelles (art. 50 al. 1 PA et 52 al. 1 PA). La recourante dispose en outre de la qualité pour recourir (art. 48 PA et art. 19 al. 2 LAAF). Il y a lieu ainsi d'entrer en matière, sous réserve de ce qui va suivre quant aux conséquences de la nullité d'une décision administrative (consid. 6.5.1).</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w:t>
      </w:r>
    </w:p>
    <w:p>
      <w:r>
        <w:rPr>
          <w:b/>
        </w:rPr>
        <w:t>E. 3.1.3</w:t>
      </w:r>
    </w:p>
    <w:p>
      <w:r>
        <w:t>L'information des personnes habilitées à recourir prévue par la LAAF (art. 14 LAAF) ainsi que le droit de participation et de consultation des pièces (art. 15 LAAF) concrétisent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 arrêts du TAF A-3951/2015 du 26 avril 2016 consid. 3.1, A-7076/2014 du 1er avril 2015 consid. 2.1, A-7401/2014 du 24 mars 2015 consid. 3.1). La preuve de cette notification incombe à l'AFC (arrêts du TAF A-3951/2015 du 26 avril 2016 consid. 3.1, A-7401/2014 du 24 mars 2015 consid. 3.1 ;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w:t>
      </w:r>
    </w:p>
    <w:p>
      <w:r>
        <w:rPr>
          <w:b/>
        </w:rPr>
        <w:t>E. 4.1</w:t>
      </w:r>
    </w:p>
    <w:p>
      <w:r>
        <w:t>L'annulabilité de la décision est la règle, la nullité l'exception (arrêts du TAF A-7076/2014 du 1er avril 2015 consid. 3.1, A-7401/2014 du 24 mars 2015 consid. 3.1). Seuls peuvent être annulés les actes qui, sans l'existence de la cause d'annulabilité prévue par la loi, seraient efficaces et valables (ATF 137 I 273 consid. 3.1, 122 I 97 consid. 3a). Les actes nuls sont en revanche d'emblée dénués d'effet (ATF 137 I 273 consid. 3.1, 132 II 342 consid. 2.3 ; 129 I 361 consid. 2.3, 122 I 97 consid. 3a ; arrêts du TAF A-2117/2018 du 5 mars 2019 consid. 1.3, A-2138/2018 du 5 mars 2019 consid. 1.3). La nullité doit être relevée d'office et en tout temps (ATF 133 II 366 consid. 3.1, 129 I 361 consid. 2).</w:t>
      </w:r>
    </w:p>
    <w:p>
      <w:r>
        <w:rPr>
          <w:b/>
        </w:rPr>
        <w:t>E. 4.2</w:t>
      </w:r>
    </w:p>
    <w:p>
      <w:r>
        <w:t>Hormis les cas expressément prévus par la loi, il n'y a lieu d'admettre la nullité d'une décision qu'à titre exceptionnel, lorsque les circonstances sont telles que le système de l'annulabilité n'offre manifestement pas la protection nécessaire (ATF 138 II 501 consid. 3.1, 137 I 273 consid. 3.1, 133 II 366 consid. 3.1 s., 132 II 342 consid. 2.1, 129 I 361 consid. 2, 122 I 97 consid. 3a ; arrêts du TAF A-7401/2014 du 24 mars 2015 consid. 3.1, A-5682/2011 du 3 avril 2012 consid. 1.2.2). D'après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(ATF 138 II 501 consid. 3.1 ; 137 I 273 consid. 3.1, 136 II 489 consid. 3.3, 133 II 366 consid. 3.2, 132 II 342 consid. 2.1, 132 II 21 consid. 3.1, 129 I 361 consid. 2.1).</w:t>
      </w:r>
    </w:p>
    <w:p>
      <w:r>
        <w:rPr>
          <w:b/>
        </w:rPr>
        <w:t>E. 4.3.1</w:t>
      </w:r>
    </w:p>
    <w:p>
      <w:r>
        <w:t>Le droit d'être entendu est de nature formelle, ce qui signifie que sa violation suffit, si elle est particulièrement grave, à entraîner l'annulation de la décision attaquée indépendamment des chances de succès du recours sur le fond (ATF 134 V 97, 127 V 431 consid. 3d/aa ; ATAF 2013/23 consid. 6.1.3, arrêt du TAF A-3951/2015 du 26 avril 2016 consid. 3.1). Le motif relatif à ce moyen de droit doit donc être examiné en priorité (ATF 124 I 49 consid. 1 ; arrêt du TAF A-1414/2015 du 31 mars 2016 consid. 3.1.1).</w:t>
      </w:r>
    </w:p>
    <w:p>
      <w:r>
        <w:rPr>
          <w:b/>
        </w:rPr>
        <w:t>E. 4.3.2</w:t>
      </w:r>
    </w:p>
    <w:p>
      <w:r>
        <w:t>Ainsi, 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 L'absence de possibilité de participer à la procédure constitue dans la même veine une violation des règles essentielles de procédure, et ainsi un grave vice de procédure, à l'instar de l'incompétence qualifiée, fonctionnelle ou matérielle de l'autorité qui a rendu la décision ; ils sont des motifs de nullité (ATF 138 II 501 consid. 3.1, 137 I 273 consid. 3.1, 133 II 366 consid. 3.1, 132 II 342 consid. 2.1 ; arrêts du TAF A-7401/2014 du 24 mars 2015 consid. 3.1 ; A-5926/2012 du 9 avril 2013 consid. 2.2.1).</w:t>
      </w:r>
    </w:p>
    <w:p>
      <w:r>
        <w:rPr>
          <w:b/>
        </w:rPr>
        <w:t>E. 4.3.3</w:t>
      </w:r>
    </w:p>
    <w:p>
      <w:r>
        <w:t>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TAF A-3764/2015 du 15 septembre 2015 consid. 4.2.3, A-3765/2015 du 15 septembre 2015 consid. 4.2.3).</w:t>
      </w:r>
    </w:p>
    <w:p>
      <w:r>
        <w:rPr>
          <w:b/>
        </w:rPr>
        <w:t>E. 4.4.1</w:t>
      </w:r>
    </w:p>
    <w:p>
      <w:r>
        <w:t>La décision nulle ne déployant pas d'effet juridique (consid. 4.1 ci-dessus), elle ne peut pas être l'objet de la contestation (Anfechtungsobjekt) dans une procédure de recours de droit administratif: il n'y a ainsi pas lieu d'entrer en matière sur un tel recours. La nullité doit être constatée dans le dispositif (ATF 132 II 342 consid. 2.3 ; ATAF 2008/59 consid. 4.3, arrêts du TAF A-3764/2015 du 15 septembre 2015 consid. 2.4, A-3765/2015 du 15 septembre 2015 consid. 2.4, A-2433/2015 du 9 juillet 2015 consid. 5). Lorsque le vice n'affecte qu'une partie de l'acte, seule cette partie est nulle, si l'on peut estimer que l'acte eût été pris même en son absence (arrêts du TAF A-2433/2015 du 9 juillet 2015 consid. 3, A-7076/2014 du 1er avril 2015 consid. 3.1, A-7401/2014 du 24 mars 2015 consid. 3.1).</w:t>
      </w:r>
    </w:p>
    <w:p>
      <w:r>
        <w:rPr>
          <w:b/>
        </w:rPr>
        <w:t>E. 4.4.2</w:t>
      </w:r>
    </w:p>
    <w:p>
      <w:r>
        <w:t>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A-7401/2014 du 24 mars 2015 consid. 3.3).</w:t>
      </w:r>
    </w:p>
    <w:p>
      <w:r>
        <w:rPr>
          <w:b/>
        </w:rPr>
        <w:t>E. 4.5</w:t>
      </w:r>
    </w:p>
    <w:p>
      <w:r>
        <w:t>En l'espèce, le Tribunal de céans relève que l'AFC envisage de transmettre un contrat relatif aux droits de B._______. Il apparaît que ce contrat lie non seulement la recourante et la société C._______ mais également des entités *** du groupe A._______ ainsi que les sociétés D._______ et E._______ (ci-après : les sociétés). Selon la recourante, ces sociétés constituent des tiers non concernés au sens de l'art. 4 al. 3 LAAF dont les noms doivent être caviardés sur la documentation à transmettre. L'autorité inférieure soutient quant à elle que lesdites sociétés ont un lien avec la question fiscale motivant la demande, de sorte qu'elles ne peuvent être considérées comme des tiers non impliqués. Partant, caviarder leurs noms reviendrait à supprimer des informations pertinentes. L'autorité inférieure ne considère pas les sociétés parties au contrat comme des tiers non concernés. La Cour de céans retiendra par conséquent que l'AFC admet qu'elles endossent la qualité de personnes concernées, à tout le moins des personnes habilitées à recourir (art. 14 et 19 al. 2 LAAF). Or, force est de constater que l'autorité inférieure n'a pas respecté les droits procéduraux des sociétés, garantis par le droit interne et concrétisant le droit d'être entendu (cf. consid. 3.1 ci-avant). En effet, il ressort du dossier que les sociétés n'ont pas été, d'une manière ou d'une autre, mises au courant de la procédure d'assistance administrative. Afin de déterminer si l'AFC a violé le droit d'être entendu des sociétés, il conviendra à la Cour d'examiner si celles-ci revêtent bien la qualité de personnes habilitées à recourir et non celle de tiers non concernés. Cette analyse se fera à la lumière du critère conventionnel de la pertinence vraisemblable (cf. consid. 6.4 ci-après) et sans se prononcer sur la question du bien-fondé de la transmission du contrat au regard des griefs d'ordre matériel invoqués par la recourante (cf. J.a ci-avant), laquelle souffre de demeurer ouverte à ce stade, vu l'issue de la présente procédure (cf. consid. 6.5 ci-après).</w:t>
      </w:r>
    </w:p>
    <w:p>
      <w:r>
        <w:rPr>
          <w:b/>
        </w:rPr>
        <w:t>E. 5</w:t>
      </w:r>
    </w:p>
    <w:p>
      <w:r>
        <w:t>L'assistance administrative avec l'Espagne est actuellement régie par l'art. 25bis CDI-ES - largement calqué sur le Modèle de convention fiscale de l'OCDE concernant le revenu et la fortune (ci-après : MC OCDE) - et par le ch. IV du Protocole joint à la CDI-ES (publié également au RS 0.672.933.21, ci-après : Protocole CDI-ES).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qui porte sur les périodes fiscales 2013 à 2016, est soumise aux règles en vigueur conformément à ces dernières modifications.</w:t>
      </w:r>
    </w:p>
    <w:p>
      <w:r>
        <w:rPr>
          <w:b/>
        </w:rPr>
        <w:t>E. 5.1.1</w:t>
      </w:r>
    </w:p>
    <w:p>
      <w:r>
        <w:t>Selon l'art. 25bis par. 1 CDI-ES, l'assistance doit être accordée à condition qu'elle porte sur des renseignements vraisemblablement pertinents pour l'application de la CDI ou la législation fiscale interne des Etats contractants (voir notamment ATF 142 II 161 consid. 2.1.1, 2.1.4 et 2.4, ATF 141 II 436 consid. 4.4 ; arrêts du TF 2C_387/2016 du 5 mars 2018 consid. 5.1, 2C_1162/2016 du 4 octobre 2017 consid. 6.3, 2C_893/2015 du 16 février 2017 consid. 12.3 non publié in : ATF 143 II 202, ainsi que 2C_904/2015 du 8 décembre 2016 consid. 6.2 ; arrêt du TAF A-2523/2015 du 9 avril 2018 consid. 4.6.1). La condition de la pertinence vraisemblable des renseignements requis exprimée à l'art. 25bis par. 1 CDI-ES est la clé de voûte de l'échange de renseignements (cf. arrêt du TF 2C_1162/2016 du 4 octobre 2017 consid. 6.3 ; arrêts du TAF A-5066/2016 du 17 mai 2018 consid. 2.3.1, A-4819/2016 du 4 avril 2018 consid. 2.3.1 et A-525/2017 du 29 janvier 2018 consid. 2.3 [décision attaquée devant le TF]).</w:t>
      </w:r>
    </w:p>
    <w:p>
      <w:r>
        <w:rPr>
          <w:b/>
        </w:rPr>
        <w:t>E. 5.1.2</w:t>
      </w:r>
    </w:p>
    <w:p>
      <w:r>
        <w:t>Le rôle de l'Etat requis se limite à un contrôle de plausibilité ; il doit se contenter de vérifier l'existence d'un rapport entre l'état de fait décrit et les documents requis, étant précisé que l'Etat requérant est présumé agir de bonne foi (cf. ATF 143 II 185 consid. 3.3.2, 142 II 161 consid. 2.1.1, 2.1.4 et 2.4, 141 II 436 consid. 4.4.3 ; arrêt du TF 2C_695/2017 du 29 octobre 2018 consid. 2.6).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(arrêts du TAF A-5066/2016 du 17 mai 2018 consid. 2.3.2 et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5.1.3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(cf. art. 4 al. 3 LAAF ; ATF 142 II 161 consid. 4.6.1 ; ATF 144 II 29 consid. 4.2.3 ; pour des développements, arrêt du TAF A-4819/2016 du 4 avril 2018 consid. 3).</w:t>
      </w:r>
    </w:p>
    <w:p>
      <w:r>
        <w:rPr>
          <w:b/>
        </w:rPr>
        <w:t>E. 6</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143 II 506 consid. 5.2.1 ; ATF 144 II 29 consid. 4.2.3 ; voir arrêt du TAF A-6306/2015 du 15 mai 2017 consid. 6.4.3).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143 II 506 consid. 5.2.1 ; arrêt du TF 2C_387/2016 du 5 mars 2018 consid. 5.1 ; ATF 144 II 29 consid. 4.2.3), ainsi qu'appliqué par l'AFC dans sa pratique (arrêt du TAF A-3791/2017 du 5 janvier 2018 consid. 5.2.2).</w:t>
      </w:r>
    </w:p>
    <w:p>
      <w:r>
        <w:rPr>
          <w:b/>
        </w:rPr>
        <w:t>E. 6.1.1</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(arrêt du TF 2C_387/2016 du 5 mars 2018 consid. 5.1 et ATF 144 II 29 consid. 4.2.3 avec les réf. citées).</w:t>
      </w:r>
    </w:p>
    <w:p>
      <w:r>
        <w:rPr>
          <w:b/>
        </w:rPr>
        <w:t>E. 6.1.2</w:t>
      </w:r>
    </w:p>
    <w:p>
      <w:r>
        <w:t>Tant dans l'ancienne que dans la nouvelle teneur de l'art. 4 al. 3 LAAF, les limites de la disposition doivent, cela dit, être comprises de manière restrictive ; l'élément déterminant reste la vraisemblable pertinence des informations à transmettre (ATF 142 II 161 consid. 4.6.1, ATF 141 II 436 consid. 3.3 et 4.5 ; arrêt du TF 2C_690/2015 du 15 mars 2016 consid. 4.5 ; arrêts du TAF A-6733/2015 du 29 juin 2017 consid. 5.6, A-6306/2015 du 15 mai 2017 consid. 6.4.2 et A-1414/2015 du 31 mars 2016 consid. 5.5.1).</w:t>
      </w:r>
    </w:p>
    <w:p>
      <w:r>
        <w:rPr>
          <w:b/>
        </w:rPr>
        <w:t>E. 6.2</w:t>
      </w:r>
    </w:p>
    <w:p>
      <w:r>
        <w:t>Il convient à ce stade d'adopter une approche plus casuistique, en rappelant des exemples jurisprudentiels intervenus dans le contexte d'application de l'art. 4 al. 3 LAAF, d'abord dans son ancienne teneur (consid. 6.2.1 ss ci-après), puis dans sa nouvelle teneur (consid. 6.3). On gardera en mémoire que l'art. 4 al. 3 LAAF (actuel) pérennise une jurisprudence et une pratique antérieures (consid. 6 ci-avant).</w:t>
      </w:r>
    </w:p>
    <w:p>
      <w:r>
        <w:rPr>
          <w:b/>
        </w:rPr>
        <w:t>E. 6.2.1</w:t>
      </w:r>
    </w:p>
    <w:p>
      <w:r>
        <w:t>Le Tribunal fédéral a ainsi jugé que les noms des titulaires d'une procuration (en l'occurrence l'épouse et les filles) sur les comptes bancaires détenus par une personne visée par la demande d'assistance administrative remplissaient la condition de la pertinence vraisemblable (arrêt du TF 2C_963/2014 du 24 septembre 2015 consid. 6.2 non publié in : ATF 141 II 436, mais in : Archives 84 p. 559 et traduit in : RDAF 2016 II 374 ; voir ég. arrêt du TF 2C_216/2015 du 18 novembre 2015 consid. 4.2 ; voir encore ATF 144 II 29 consid. 4.2.4).</w:t>
      </w:r>
    </w:p>
    <w:p>
      <w:r>
        <w:rPr>
          <w:b/>
        </w:rPr>
        <w:t>E. 6.2.2</w:t>
      </w:r>
    </w:p>
    <w:p>
      <w:r>
        <w:t>En outre, la Cour suprême a considéré que les relations concrètes d'une société dont le contribuable est l'ayant droit économique peuvent être pertinentes (relevant) pour l'imposition de celui-ci ; tel peut en particulier être le cas si le contribuable visé par la demande domine économiquement (wirtschaftliche Beherrschung) la société détentrice des informations (ATF 141 II 436 consid. 4.6 ; arrêts du TAF A-3791/2017 du 5 janvier 2018 consid. 5.2.3 et TAF A-5149/2015 du 29 juin 2016 consid. 4.7.1 [décision confirmée par l'ATF 144 II 29]).</w:t>
      </w:r>
    </w:p>
    <w:p>
      <w:r>
        <w:rPr>
          <w:b/>
        </w:rPr>
        <w:t>E. 6.2.3</w:t>
      </w:r>
    </w:p>
    <w:p>
      <w:r>
        <w:t>Le Tribunal fédéral a par ailleurs considéré que si des informations concernant une société pouvaient être relevantes pour l'imposition du contribuable visé par la demande d'assistance, elles constituaient alors à tout le moins des renseignements vraisemblablement pertinents. Les informations ayant trait aux activités de la société, au nombre de ses employés et à ses locaux doivent à ce titre être transmis car ils sont propres à déterminer si la société dispose, ou non, d'une existence réelle (ATF 142 II 69 consid. 3.1 et 3.2 [actionnariat unique d'une société à responsabilité limitée sise en Suisse] ; arrêt du TAF A-3791/2017 du 5 janvier 2018 consid. 5.2.3 ; comp. ATF 141 II 436 consid. 4.6).</w:t>
      </w:r>
    </w:p>
    <w:p>
      <w:r>
        <w:rPr>
          <w:b/>
        </w:rPr>
        <w:t>E. 6.2.4</w:t>
      </w:r>
    </w:p>
    <w:p>
      <w:r>
        <w:t>Dans un arrêt non publié 2C_690/2015 du 15 mars 2016 consid. 3.5 et 4.5, intervenant dans le contexte d'une demande tendant à déterminer si des prestations dont une société française prétendait avoir bénéficié de la part d'une société soeur établie en Suisse étaient effectives et, partant, déductibles fiscalement (prix de transfert), la Cour suprême a estimé que le nom et l'adresse des salariés de la société suisse ainsi que les noms des clients pouvaient être transmis. Ces informations ont été considérées comme étant vraisemblablement pertinentes pour vérifier que la société suisse avait un personnel distinct de la société française et qu'elle était en mesure d'effectuer les prestations litigieuses (rappelé in : ATF 143 II 185 consid. 3.3.3 et ATF 144 II 29 consid. 4.2.4).</w:t>
      </w:r>
    </w:p>
    <w:p>
      <w:r>
        <w:rPr>
          <w:b/>
        </w:rPr>
        <w:t>E. 6.2.5</w:t>
      </w:r>
    </w:p>
    <w:p>
      <w:r>
        <w:t>Dans un autre arrêt non publié 2C_904/2015 du 8 décembre 2016 consid. 6.4, s'agissant de déterminer l'existence réelle d'une société détenant un compte bancaire suisse, la Haute Cour a retenu que le nom des éventuels titulaires du mandat de gestion de ladite société au sein de la banque pouvait être transmis. En effet, en application du principe de la confiance, savoir qui gérait cette société et ses avoirs était vraisemblablement pertinent pour vérifier qu'il ne s'agissait pas d'une société-écran destinée à dissimuler l'identité du véritable détenteur des avoirs placés auprès de la banque (rappelé in : ATF 144 II 29 consid. 4.2.4).</w:t>
      </w:r>
    </w:p>
    <w:p>
      <w:r>
        <w:rPr>
          <w:b/>
        </w:rPr>
        <w:t>E. 6.2.6.1</w:t>
      </w:r>
    </w:p>
    <w:p>
      <w:r>
        <w:t>L'ATF 142 II 161 se prononce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(cf. FF 2011 5771, 5783).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w:t>
      </w:r>
    </w:p>
    <w:p>
      <w:r>
        <w:rPr>
          <w:b/>
        </w:rPr>
        <w:t>E. 6.2.6.2</w:t>
      </w:r>
    </w:p>
    <w:p>
      <w:r>
        <w:t>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w:t>
      </w:r>
    </w:p>
    <w:p>
      <w:r>
        <w:rPr>
          <w:b/>
        </w:rPr>
        <w:t>E. 6.3</w:t>
      </w:r>
    </w:p>
    <w:p>
      <w:r>
        <w:t>Il s'agit encore de présenter des exemples plus récents de cas rendus en application de l'art. 4 al. 3 LAAF.</w:t>
      </w:r>
    </w:p>
    <w:p>
      <w:r>
        <w:rPr>
          <w:b/>
        </w:rPr>
        <w:t>E. 6.3.1</w:t>
      </w:r>
    </w:p>
    <w:p>
      <w:r>
        <w:t>En lien avec les noms d'employés de banque, la Haute Cour a retenu que si l'AFC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Le Tribunal fédéral ajoute que si tel est le cas, l'employé visé peut notamment faire valoir un intérêt digne de protection, d'une part, au sens de l'art. 48 PA et, d'autre part, le cas échéant, sous l'angle de la protection des données (cf. art. 25 LPD ; ATF 143 II 506 consid. 5.2.2 [en application de la Convention entre la Confédération suisse et les Etats-Unis d'Amérique en vue d'éviter les doubles impositions en matière d'impôts sur le revenu ; CDI-US, RS 0.672.933.61]).</w:t>
      </w:r>
    </w:p>
    <w:p>
      <w:r>
        <w:rPr>
          <w:b/>
        </w:rPr>
        <w:t>E. 6.3.2</w:t>
      </w:r>
    </w:p>
    <w:p>
      <w:r>
        <w:t>Dans un arrêt plus récent encore, le Tribunal fédéral s'est penché sur la transmission de données permettant d'identifier des employés de banque et l'avocat/notaire figurant dans des documents. Ainsi, de l'avis de la Cour suprême, cette transmission suppose que les informations soient nécessaires pour appliquer les dispositions de la convention ou pour prévenir les fraudes et délits semblables portant sur un impôt visé par la CDI-US. Dans ce cas, elle a jugé, d'une part, que ces informations n'avaient rien à voir avec la question fiscale motivant les demandes et, d'autre part, que le caviardage du nom des employés de banque et de l'avocat/notaire ne rendait pas lesdites demandes inintelligibles ou leur ôtait une quelconque force probante. Le Tribunal fédéral a tout particulièrement précisé que, du point de vue de l'éventuelle amende fiscale dans l'Etat requérant, l'information relative à l'identité des tiers n'était pas nécessaire, au contraire de celle relative à leur existence et à leur intervention (ATF 144 II 29 consid. 4.3).</w:t>
      </w:r>
    </w:p>
    <w:p>
      <w:r>
        <w:rPr>
          <w:b/>
        </w:rPr>
        <w:t>E. 6.4</w:t>
      </w:r>
    </w:p>
    <w:p>
      <w:r>
        <w:t>En l'espèce, la Cour doit déterminer, du point de vue du critère de la vraisemblable pertinence, si les informations concernant les sociétés figurant sur le contrat sont de nature à contribuer à élucider la situation fiscale du contribuable visé dans l'Etat requérant. Cette analyse permettra de déterminer si les sociétés endossent la qualité de personnes habilitées à recourir ou de tiers non concernés (art. 4 al. 3 LAAF). Du point de vue du critère de la vraisemblable pertinence, le Tribunal relève ce qui suit. L'autorité requérante a indiqué qu'elle menait un contrôle de la situation fiscale de B._______. Selon les informations à disposition des autorités espagnoles, ce dernier aurait cédé ses droits à la société C._______. Cette session aurait été faite dans un premier temps à titre gratuit puis moyennant rémunération. Les autorités espagnoles exposent du reste qu'elles souhaitent obtenir tous les contrats que la recourante a conclu en lien avec les droits de B._______ afin de déterminer si ladite cession a été faite selon les conditions du marché. La Cour rappelle que l'appréciation de la pertinence vraisemblable des informations demandées est en premier lieu du ressort de l'Etat requérant, le rôle de l'Etat requis se limite en principe à un contrôle de plausibilité (consid. 5.1.2 ci-avant). En l'occurrence, il apparaît que les informations contenues dans le contrat permettront aux autorités espagnoles de connaître les montants obtenus par la société C._______ pour la gestion des droits de B._______. Partant du principe que pour déterminer si la cession des droits a été faite aux conditions du marché, il est nécessaire d'examiner les contre-prestations touchées par la société qui les gère, il y a lieu de conclure que les informations requises remplissent la condition de la pertinence vraisemblable. Dans cette optique, les renseignements relatifs aux parties au contrat semblent également être pertinents. Le Tribunal de céans relève encore que les autorités requérantes ont demandé expressément que leur soit transmis les contrats signés entre la recourante et la société C._______ (« contracts signed by A._______ with C._______ », « any other contract signed by A._______ related to B._______'s rights »). A la lecture de leur requête, l'on comprend aisément que les autorités espagnoles souhaitent avoir accès aux contrats dans leur entier. Dans ce contexte, caviarder un élément essentiel du contrat, à savoir le nom de parties, reviendrait à supprimer des informations vraisemblablement pertinentes et rendrait vide de sens la demande d'assistance administrative (ATF 142 II 161, consid. 4.6.1). Au vu de ce qui précède, le Tribunal de céans conclut que les informations relatives aux sociétés figurant sur le contrat remplissent la condition de la pertinence vraisemblable. Comme le relève à juste titre l'autorité inférieure, ces dernières ont un lien avec la question fiscale motivant la demande et n'apparaissent pas par hasard sur la documentation que l'AFC entend transmettre aux autorités requérantes. Partant, il y a lieu de conclure qu'elles ne peuvent être considérées comme étant des tiers non concernés au sens de l'art. 4 al. 3 LAAF. Pour autant que la transmission dudit contrat soit confirmée suite à l'examen des griefs d'ordre matériel invoqués par la recourante, il découle de ce qui précède que c'est à bon droit que l'AFC n'a pas procédé au caviardage des données figurant dans la documentation à transmettre et permettant d'identifier les sociétés.</w:t>
      </w:r>
    </w:p>
    <w:p>
      <w:r>
        <w:rPr>
          <w:b/>
        </w:rPr>
        <w:t>E. 6.5</w:t>
      </w:r>
    </w:p>
    <w:p>
      <w:r>
        <w:t>Dans ces circonstances, il y a lieu de conclure que les sociétés endossent la qualité de personnes habilitées à recourir (art. 14 et 19 al. 2 LAAF). L'AFC a d'ailleurs bien admis implicitement une telle qualité dans sa réponse du 11 février 2019. Il ressort, sur la base du dossier, que ces sociétés n'ont pas fait l'objet d'une notification et qu'aucune décision n'a été rendue à leur égard. De plus, aucun indice au dossier ne permet de conclure que l'AFC ait demandé à la détentrice d'informations, à savoir la société A._______, de les informer de l'ouverture de la procédure d'assistance administrative. On ne saurait du reste considérer que les entités non informées aient été, d'une manière ou d'une autre, mises au courant de la procédure et qu'elles ne se seraient, sous l'angle de la bonne foi, pas prévalu en temps utile d'un défaut de notification si bien que le vice de forme de l'absence de notification devrait être considéré comme inopérant en l'espèce (cf. arrêt du TF 2C_954/2015 du 13 février 2017 consid. 8.3). En ayant été empêchées de participer à la procédure, leurs droits procéduraux sont ainsi incontestablement touchés (consid. 3.1.3 ci-dessus). En conséquence, la gravité de la violation du droit d'être entendues des sociétés, sous le volet de la notification de la procédure, implique la constatation de la nullité de la décision litigieuse.</w:t>
      </w:r>
    </w:p>
    <w:p>
      <w:r>
        <w:rPr>
          <w:b/>
        </w:rPr>
        <w:t>E. 6.5.1</w:t>
      </w:r>
    </w:p>
    <w:p>
      <w:r>
        <w:t>Compte tenu des particularités de la procédure d'assistance administrative, la nullité vaut à l'égard de tous les intéressés (consid. 4.4.2 ci-dessus). Il appartiendra à l'AFC de rendre une nouvelle décision à l'attention de toutes les parties habilitées à recourir dès l'entrée en force du présent arrêt.</w:t>
      </w:r>
    </w:p>
    <w:p>
      <w:r>
        <w:rPr>
          <w:b/>
        </w:rPr>
        <w:t>E. 6.5.2</w:t>
      </w:r>
    </w:p>
    <w:p>
      <w:r>
        <w:t>Vu l'issue du litige il n'y a pas lieu de se prononcer à ce stade sur les autres griefs invoqués par la recourante et de préjuger la question de la transmission du contrat en lui-même.</w:t>
      </w:r>
    </w:p>
    <w:p>
      <w:r>
        <w:rPr>
          <w:b/>
        </w:rPr>
        <w:t>E. 6.6</w:t>
      </w:r>
    </w:p>
    <w:p>
      <w:r>
        <w:t>Les frais de procédure, qui comprennent l'émolument d'arrêté, les émoluments de chancellerie et les débours, sont, en règle générale, mis à la charge de la partie qui succombe (art. 63 al. 1 PA). Le recours sur lequel il n'est pas entré en matière ensuite de la constatation de la nullité de la décision soumise au Tribunal n'emporte néanmoins pas mise à la charge de la recourante des frais de procédure (arrêts du TAF A-7076/2014 du 1er avril 2015 consid. 5, A-7401/2014 du 24 mars 2015 consid. 6). En l'occurrence, les frais de procédure sont fixés à Fr. 5'000.-. La décision étant toutefois nulle, aucun frais n'est mis à la charge de la recourante. L'avance de frais de Fr. 5'000.- versée par elle lui sera restituée une fois le présent arrêt définitif et exécutoire. Selon l'art. 63 al. 2 PA, les frais de procédure ne peuvent être mis à la charge des autorités inférieures déboutées, de sorte que l'AFC n'a pas de frais de procédure à payer.</w:t>
      </w:r>
    </w:p>
    <w:p>
      <w:r>
        <w:rPr>
          <w:b/>
        </w:rPr>
        <w:t>E. 6.7</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La recourante a droit à des dépens fixés sur la base du dossier (arrêts du TAF A-7076/2014 du 1er avril 2015 consid. 5, A-7401/2014 du 24 mars 2015 consid. 6). Les dépens sont ainsi fixés à Fr. 5'000.- et mis à la charge de l'AFC.</w:t>
      </w:r>
    </w:p>
    <w:p>
      <w:r>
        <w:rPr>
          <w:b/>
        </w:rPr>
        <w:t>E. 6.8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