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A-6859/2019 vom 2. Dezember 2020</w:t>
      </w:r>
    </w:p>
    <w:p>
      <w:r>
        <w:t>Bundesverwaltungsgericht, 2020-12-02, DE</w:t>
      </w:r>
    </w:p>
    <w:p>
      <w:r>
        <w:rPr>
          <w:b/>
        </w:rPr>
        <w:t xml:space="preserve">Quelle: </w:t>
      </w:r>
      <w:r>
        <w:t>https://mcp.opencaselaw.ch/entscheid/bvger_A-6859_2019</w:t>
      </w:r>
    </w:p>
    <w:p>
      <w:r>
        <w:t>FR: TAF A-6859/2019 du 2 décembre 2020</w:t>
      </w:r>
    </w:p>
    <w:p>
      <w:r>
        <w:t>IT: TAF A-6859/2019 del 2 dicembre 2020</w:t>
      </w:r>
    </w:p>
    <w:p>
      <w:pPr>
        <w:pStyle w:val="Heading2"/>
      </w:pPr>
      <w:r>
        <w:t>Regeste</w:t>
      </w:r>
    </w:p>
    <w:p>
      <w:r>
        <w:t>Amtshilfe</w:t>
      </w:r>
    </w:p>
    <w:p>
      <w:pPr>
        <w:pStyle w:val="Heading2"/>
      </w:pPr>
      <w:r>
        <w:t>Erwägungen</w:t>
      </w:r>
    </w:p>
    <w:p>
      <w:r>
        <w:rPr>
          <w:b/>
        </w:rPr>
        <w:t>E. 1.1</w:t>
      </w:r>
    </w:p>
    <w:p>
      <w:r>
        <w:t>Dem vorliegenden Verfahren liegt ein Amtshilfeersuchen des indischen MoF gestützt auf Art. 26 DBA CH-IN zugrunde. Die Durchführung der mit diesem Abkommen vereinbarten Bestimmungen richtet sich nach dem StAhiG (vgl. Art. 1 Abs. 1 Bst. a StAhiG und Art. 24 StAhiG e contrario). Vorbehalten bleiben abweichende Bestimmungen des im vorliegenden Fall anwendbaren DBA CH-IN (vgl. Art. 1 Abs. 2 StAhiG).</w:t>
      </w:r>
    </w:p>
    <w:p>
      <w:r>
        <w:rPr>
          <w:b/>
        </w:rPr>
        <w:t>E. 1.2</w:t>
      </w:r>
    </w:p>
    <w:p>
      <w:r>
        <w:t>Das Bundesverwaltungsgericht beurteilt gemäss Art. 31 VGG Beschwerden gegen Verfügungen nach Art. 5 VwVG.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ist als Verfügungsadressatin im Sinne von Art. 48 VwVG i.V.m. Art. 19 Abs. 2 StAhiG durch den angefochtenen Entscheid besonders berührt und hat ein schutzwürdiges Interesse an dessen Aufhebung, weshalb sie zur Beschwerde berechtigt ist.</w:t>
      </w:r>
    </w:p>
    <w:p>
      <w:r>
        <w:rPr>
          <w:b/>
        </w:rPr>
        <w:t>E. 1.4</w:t>
      </w:r>
    </w:p>
    <w:p>
      <w:r>
        <w:t>Somit ist auf die form- und fristgerecht eingereichte Beschwerde grundsätzlich einzutreten (vgl. Art. 50 Abs. 1 VwVG und Art. 52 Abs. 1 VwVG i.V.m. Art. 5 StAhiG; vgl. auch E. 3.5).</w:t>
      </w:r>
    </w:p>
    <w:p>
      <w:r>
        <w:rPr>
          <w:b/>
        </w:rPr>
        <w:t>E. 1.5.1</w:t>
      </w:r>
    </w:p>
    <w:p>
      <w:r>
        <w:t>Im Urteil 2C_804/2019 vom 21. April 2020 hat das Bundesgericht festgehalten, dass die ESTV und die Gerichte aufgrund des Beschleunigungsgebots in aller Regel von der Sistierung von Amtshilfeverfahren abzusehen haben (Art. 29 Abs. 1 BV; Art. 4 Abs. 2 StAhiG). In jedem Fall ausgeschlossen ist die Sistierung, wenn sie zu einer substanziellen Verlängerung des Amtshilfeverfahrens führt (Urteil des BGer 2C_804/2019 vom 21. April 2020 E. 3.4). Die Sistierung eines Amtshilfeverfahrens kann demnach nur ausnahmsweise zulässig sein und bedarf zwingender Gründe (Urteil des BGer 2C_815/2019 vom 18. Mai 2020 E. 3.1). Als ausnahmsweise zulässig bezeichnete das Bundesgericht die Sistierung, wenn sich in einem Verfahren vor Bundesverwaltungsgericht die identische entscheidwesentliche Rechtsfrage grundsätzlicher Bedeutung stellt, die bereits in einer anderen Sache vor dem Bundesgericht hängig ist, sodass die Antwort des Bundesgerichts im ersten Verfahren ein Präjudiz für das zweite Verfahren vor Bundesverwaltungsgericht darstellt und damit die Übermittlung der ersuchten Informationen bestimmt (Urteile des BGer 2C_815/2019 vom 18. Mai 2020 E. 3.1, 2C_804/2019 vom 21. April 2020 E. 3.5).</w:t>
      </w:r>
    </w:p>
    <w:p>
      <w:r>
        <w:rPr>
          <w:b/>
        </w:rPr>
        <w:t>E. 1.5.2</w:t>
      </w:r>
    </w:p>
    <w:p>
      <w:r>
        <w:t>Die Beschwerdeführerin begründet ihren Sistierungsantrag im Wesentlichen mit dem angeblich präjudizierenden Urteil des Bundesverwaltungsgerichts A-5715/2018 vom 3. September 2019 und den darin ausgeführten Erwägungen zu Drittpersonen.</w:t>
      </w:r>
    </w:p>
    <w:p>
      <w:r>
        <w:rPr>
          <w:b/>
        </w:rPr>
        <w:t>E. 1.5.3</w:t>
      </w:r>
    </w:p>
    <w:p>
      <w:r>
        <w:t>Das von der Beschwerdeführerin angeführte hängige Verfahren vor Bundesgericht unterscheidet sich indes massgeblich vom vorliegenden Verfahren, war im genannten bundesverwaltungsgerichtlichen Verfahren A-5715/2018 doch eine Empfehlung des Eidgenössischen Datenschutz- und Öffentlichkeitsbeauftragten (EDÖB) im Zusammenhang mit formell nicht betroffenen Drittpersonen sowie die ablehnende Verfügung des Eidgenössischen Finanzdepartements (EFD) vom 20. September 2018 Ausgangspunkt und Streitgegenstand des Verfahrens, nicht wie in casu eine Schlussverfügung der ESTV im Wesentlichen über die Informationen zur Berechnung der Gewinnsteuer der im ersuchenden Staat ansässigen Unternehmung (formell und materiell direkt betroffen). Zudem wurde die von der Beschwerdeführerin (sub)eventualiter angeführte Rechtsfrage betreffend Drittpersonen namentlich im Urteil des Bundesgerichts 2C_687/2019 vom 13. Juli 2020 im hier einschlägigen Umfang zwischenzeitlich geklärt (vgl. Urteil des BGer 2C_687/2019 vom 13. Juli 2020 E. 1.4). Insgesamt sind keine Gründe ersichtlich, die entgegen dem Gebot der im Amtshilfebereich vorgeschriebenen Verfahrensbeschleunigung eine Sistierung des vorliegenden Verfahrens aufdrängten. Der Sistierungsantrag der Beschwerdeführerin ist als unbegründet abzuweisen.</w:t>
      </w:r>
    </w:p>
    <w:p>
      <w:r>
        <w:rPr>
          <w:b/>
        </w:rPr>
        <w:t>E. 2.1</w:t>
      </w:r>
    </w:p>
    <w:p>
      <w:r>
        <w:t>Die Amtshilfeklausel von Art. 26 DBA CH-IN in der (aktuellen) Fassung gemäss dem Änderungsprotokoll ist bei Amtshilfeersuchen Indiens anwendbar auf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(OECD-MA).</w:t>
      </w:r>
    </w:p>
    <w:p>
      <w:r>
        <w:rPr>
          <w:b/>
        </w:rPr>
        <w:t>E. 2.2.1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w:t>
      </w:r>
    </w:p>
    <w:p>
      <w:r>
        <w:rPr>
          <w:b/>
        </w:rPr>
        <w:t>E. 2.2.2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so auszulegen sind, dass sie einen wirksamen Informationsaustausch nicht behindern.</w:t>
      </w:r>
    </w:p>
    <w:p>
      <w:r>
        <w:rPr>
          <w:b/>
        </w:rPr>
        <w:t>E. 2.2.3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A-5146/2018 vom 28. Juli 2020 E. 5.2.1, mit Hinweisen).</w:t>
      </w:r>
    </w:p>
    <w:p>
      <w:r>
        <w:rPr>
          <w:b/>
        </w:rPr>
        <w:t>E. 2.2.4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weiteren Hinweisen, zitiert im Urteil des BGer 2C_615/2018 vom 26. März 2019 E. 3.2).</w:t>
      </w:r>
    </w:p>
    <w:p>
      <w:r>
        <w:rPr>
          <w:b/>
        </w:rPr>
        <w:t>E. 2.2.5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A-140/2019 vom 13. Mai 2019 E. 3.1.2, mit Hinweisen).</w:t>
      </w:r>
    </w:p>
    <w:p>
      <w:r>
        <w:rPr>
          <w:b/>
        </w:rPr>
        <w:t>E. 2.2.6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BGer 2C_287/2019 und 2C_288/2019 vom 13. Juli 2020 E. 5.2, mit weiteren Hinweisen; zur Problematik von Drittpersonen siehe auch E. 2.7).</w:t>
      </w:r>
    </w:p>
    <w:p>
      <w:r>
        <w:rPr>
          <w:b/>
        </w:rPr>
        <w:t>E. 2.3.1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w:t>
      </w:r>
    </w:p>
    <w:p>
      <w:r>
        <w:rPr>
          <w:b/>
        </w:rPr>
        <w:t>E. 2.3.2</w:t>
      </w:r>
    </w:p>
    <w:p>
      <w:r>
        <w:t>Das völkerrechtliche Vertrauensprinzip spielt auch eine Rolle in Bezug auf das Spezialitätsprinzip (ausführlich zum Spezialitätsprinzip E. 2.5).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2.4</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ist diese Frage von den Behörden des ersuchenden Staates zu beantworten. Dies gilt auch für Fragen bezüglich des Verfahrensrechts des ersuchenden Staates (Urteile des BGer 2C_954/2015 vom 13. Februar 2017 E. 5.5, 2C_527/2015 vom 3. Juni 2016 E. 5.7; Urteile des BVGer A-2981/2019 vom 1. September 2020 E. 2.4, A-3186/2019 vom 20. August 2020 E. 3.4.2, A-2454/2017 vom 7. Juni 2018 E. 2.3, A-7496/2016 vom 27. April 2018 E. 4.6.6, A-2915/2016 vom 4. April 2017 E. 3.3.2, A-4157/2016 vom 15. März 2017 E. 3.5.4).</w:t>
      </w:r>
    </w:p>
    <w:p>
      <w:r>
        <w:rPr>
          <w:b/>
        </w:rPr>
        <w:t>E. 2.5.1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Absatz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2.5.2</w:t>
      </w:r>
    </w:p>
    <w:p>
      <w:r>
        <w:t>Weiter darf der ersuchende Staat aufgrund des Spezialitätsprinzips die vom ersuchten Staat erlangten Informationen einzig in Bezug auf Personen oder Handlungen verwenden, für welche er sie verlangt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Auch das Bundesgericht bestätigte - insbesondere mit Urteil 2C_537/2019 vom 13. Juli 2020 -, dass das Spezialitätsprinzip nicht nur eine sachliche, sondern auch eine persönliche Dimension aufweist (vgl. E. 3.1 ff. des genannten Urteils sowie ferner etwa das Urteil des BGer 2C_545/2019 vom 13. Juli 2020 E. 4.7, mit weiteren Hinweisen).</w:t>
      </w:r>
    </w:p>
    <w:p>
      <w:r>
        <w:rPr>
          <w:b/>
        </w:rPr>
        <w:t>E. 2.6.1</w:t>
      </w:r>
    </w:p>
    <w:p>
      <w:r>
        <w:t>Nach Art. 26 Abs. 3 Bst. b DBA CH-IN ist die Schweiz als ersuchter Staat nicht verpflichtet, Informationen zu erteilen, die nach ihren sowie den indischen Gesetzen oder auf ihrem und dem indischen üblichen Verwaltungsverfahren nicht beschafft werden können (sog. Grundsatz der Reziprozität; vgl. auch Art. 6 Abs. 2 Bst. f StAhiG; vgl. Urteil des BVGer A-5146/2018 vom 28. Juli 2020 E. 11.1).</w:t>
      </w:r>
    </w:p>
    <w:p>
      <w:r>
        <w:rPr>
          <w:b/>
        </w:rPr>
        <w:t>E. 2.6.2</w:t>
      </w:r>
    </w:p>
    <w:p>
      <w:r>
        <w:t>Die Erhältlichkeit von Informationen ist Teil des Reziprozitätsprinzips und von Art. 26 DBA CH-IN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w:t>
      </w:r>
    </w:p>
    <w:p>
      <w:r>
        <w:rPr>
          <w:b/>
        </w:rPr>
        <w:t>E. 2.6.3</w:t>
      </w:r>
    </w:p>
    <w:p>
      <w:r>
        <w:t>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(Urteil des BGer 2C_646/2017 vom 9. April 2018 E. 2.1).</w:t>
      </w:r>
    </w:p>
    <w:p>
      <w:r>
        <w:rPr>
          <w:b/>
        </w:rPr>
        <w:t>E. 2.6.4</w:t>
      </w:r>
    </w:p>
    <w:p>
      <w:r>
        <w:t>Die Erhältlichkeit von Informationen richtet sich insbesondere nach den Art. 123 ff. DBG (BVGE 2018 III/4 E. 2.2.2 und E. 3.2.1). Das DBG unterscheidet zwischen einer generellen, dem Steuerpflichtigen obliegenden Mitwirkungspflicht (Art. 126 DBG) und spezifischen, gewissen Dritten obliegenden Mitwirkungspflichten (Art. 127 - 129 DBG; Urteil des BVGer A-5146/2018 vom 28. Juli 2020 E. 11.4). Eine in der Schweiz steuerpflichtige Person hat im Verfahren der internationalen Amtshilfe in Steuersachen der Steuerverwaltung gemäss Art. 126 DBG auch Informationen zur Veranlagung eines Dritten zu übermitteln, sofern diese Informationen ihre eigene Veranlagung beeinflussen können (BVGE 2018 III/4 E. 3.3.1). Kommt die Auskunftspflicht nach Art. 126 DBG nicht infrage, ist eine Bescheinigungspflicht nach den Art. 127 ff. DBG zu prüfen (BVGE 2018 III/4 E. 3.2.2). Bei Art. 127 Abs. 1 Bst. e DBG handelt es sich um einen Auffangtatbestand; danach müssen die bescheinigungspflichtige und die steuerpflichtige Person in einem Rechtsverhältnis zueinander stehen (Urteil des BVGer A-5146/2018 vom 28. Juli 2020 E. 11.4).</w:t>
      </w:r>
    </w:p>
    <w:p>
      <w:r>
        <w:rPr>
          <w:b/>
        </w:rPr>
        <w:t>E. 2.7.1</w:t>
      </w:r>
    </w:p>
    <w:p>
      <w:r>
        <w:t>In Bezug auf die Information über das laufende Amtshilfeverfahren wird unterschieden zwischen den formell betroffenen Personen, also jenen, über die im Amtshilfeersuchen Informationen verlangt werden bzw. deren Steuerpflicht im ersuchenden Staat geprüft werden soll (Art. 3 Bst. a StAhiG), und weiteren Personen, die sonst (materiell) betroffen sind. Während die fehlende Information Ersterer insbesondere dann zur Nichtigkeit der angefochtenen Schlussverfügung führt, wenn diese gar nicht vom Amtshilfeverfahren Kenntnis erlangten, wird in Bezug auf Letztere keine Nichtigkeit angenommen (Urteil des BVGer A-2981/2019 vom 1. September 2020 E. 2.1.5).</w:t>
      </w:r>
    </w:p>
    <w:p>
      <w:r>
        <w:rPr>
          <w:b/>
        </w:rPr>
        <w:t>E. 2.7.2</w:t>
      </w:r>
    </w:p>
    <w:p>
      <w:r>
        <w:t>Gemäss jüngster bundesgerichtlicher Rechtsprechung ist nicht von einer allgemeinen Informationspflicht gegenüber sämtlichen vom Amtshilfeersuchen betroffenen Drittpersonen, über die Informationen aufgrund der voraussichtlichen Erheblichkeit für die Veranlagung der im ersuchenden Staat steuerpflichtigen Person übermittelt werden sollen, auszugehen. Die ESTV hat nur diejenigen Personen über das Amtshilfeverfahren in Kenntnis zu setzen, deren Legitimation im Sinne von Art. 19 Abs. 2 StAhiG aufgrund der Akten evident ist (insofern sei die in BGE 143 II 506 E. 5.1 gemachte Aussage, wonach einer nach Art. 19 Abs. 2 StAhiG i.V.m. Art. 48 VwVG beschwerdeberechtigten Person namentlich das Recht auf Information nach Art. 14 Abs. 2 StAhiG zustehe, zu präzisieren; Urteile des BGer 2C_376/2019 vom 13. Juli 2020 E. 7 und 2C_687/2019 vom 13. Juli 2020 E. 6.2). Grundsätzlich seien die Dritten nämlich durch das Spezialitätsprinzip vor der Verwendung ihrer Informationen durch den ersuchenden Staat geschützt (vgl. zum Ganzen: Urteile des BGer 2C_376/2019 vom 13. Juli 2020 E. 7.1, insb. E. 7.1.3 sowie 2C_687/2019 vom 13. Juli 2020 E. 6.1).</w:t>
      </w:r>
    </w:p>
    <w:p>
      <w:r>
        <w:rPr>
          <w:b/>
        </w:rPr>
        <w:t>E. 2.7.3</w:t>
      </w:r>
    </w:p>
    <w:p>
      <w:r>
        <w:t>Nach der Rechtsprechung des Bundesgerichts ist eine natürliche oder juristische Person zu einem Rechtsmittel im Bereich der Amtshilfe legitimiert, wenn sie von der verlangten Amtshilfemassnahme unmittelbar betroffen ist, weshalb bloss indirekt Betroffene, insbesondere Personen, die zwar in den erhobenen Unterlagen erwähnt werden, aber nicht direkt von Zwangsmassnahmen betroffen bzw. Inhaber von sichergestellten Dokumenten sind, grundsätzlich keine Legitimation zufällt. Nicht einzutreten ist demnach auf Rechtsmittel, die stellvertretend für einen Dritten bzw. in dessen Interesse erhoben werden (vgl. Urteil des BGer 2C_687/2019 vom 13. Juli 2020 E. 6.1 sowie BGE 139 II 404 E. 11.1).</w:t>
      </w:r>
    </w:p>
    <w:p>
      <w:r>
        <w:rPr>
          <w:b/>
        </w:rPr>
        <w:t>E. 2.7.4</w:t>
      </w:r>
    </w:p>
    <w:p>
      <w:r>
        <w:t>Wird die Anonymisierung von Informationen zu einzelnen Personen verlangt, die in der Amtshilfeverpflichtung an sich unterliegenden Unterlagen enthalten sind, genügt es grundsätzlich nicht, pauschal vorzubringen, bei den in diesen Unterlagen erwähnten Personen handle es sich um unbeteiligte Dritte. Vielmehr ist nach der konstanten Rechtsprechung des Bundesverwaltungsgerichts in einer solchen Konstellation bei jedem einzelnen Aktenstück, das von der Übermittlung ausgeschlossen werden soll, zu bezeichnen und im Einzelnen darzulegen, weshalb dieses im ausländischen Verfahren nicht erheblich sein kann (vgl. zum Ganzen: Urteile des BVGer A-4353/2016 vom 27. Februar 2017 E. 5.2, A-5506/2015 vom 31. Oktober 2016 E. 12.2.6).</w:t>
      </w:r>
    </w:p>
    <w:p>
      <w:r>
        <w:rPr>
          <w:b/>
        </w:rPr>
        <w:t>E. 3</w:t>
      </w:r>
    </w:p>
    <w:p>
      <w:r>
        <w:t>Im vorliegenden Verfahren macht die Beschwerdeführerin im Wesentlichen geltend, dass eine «fishing expedition» vorliege und die voraussichtliche Erheblichkeit der ersuchten Informationen, namentlich der «bank statements», fehle.</w:t>
      </w:r>
    </w:p>
    <w:p>
      <w:r>
        <w:rPr>
          <w:b/>
        </w:rPr>
        <w:t>E. 3.1</w:t>
      </w:r>
    </w:p>
    <w:p>
      <w:r>
        <w:t>Vorwegzunehmen ist, dass das gestellte Ersuchen konkrete Fragen beinhaltet, die sich auf identifizierte Personen im Rahmen einer im ersuchenden Staat laufenden Untersuchung beziehen (vgl. hierzu E. 2.2.2 f.). Somit erfüllt das vorliegend zu beurteilende Amtshilfeersuchen des MoF die formellen Voraussetzungen gemäss Art. 10 Bst. d des Protokolls zum DBA CH-IN (vgl. auch Art. 13 Änderungsprotokoll). Das Ersuchen erweist sich damit als hinreichend konkret, weshalb im vorliegenden Fall keine «fishing expedition» gegeben ist. Die Argumente der Beschwerdeführerin, es handle sich im vorliegenden Fall um eine unzulässige «fishing expedition», überzeugen somit nicht.</w:t>
      </w:r>
    </w:p>
    <w:p>
      <w:r>
        <w:rPr>
          <w:b/>
        </w:rPr>
        <w:t>E. 3.2.1</w:t>
      </w:r>
    </w:p>
    <w:p>
      <w:r>
        <w:t>Es ist grundsätzlich Sache des ersuchenden Staats zu bestimmen, welche Informationen für die Besteuerung voraussichtlich erheblich sind (vgl. E. 2.2.4 f.), wobei die vom MoF im Zusammenhang mit der Besteuerung der betroffenen Person ersuchten Informationen über gewisse Transaktionen mit der Beschwerdeführerin (namentlich folgende: [...] [Wiedergabe der eingeforderten Informationen]) vorliegend offensichtlich geeignet erscheinen, die Gewinnbesteuerung der betroffenen Person in Indien zu beeinflussen. Da der im Ersuchen genannte Sachverhalt zudem mit den verlangten Informationen sowie den ersuchten Dokumenten zusammenhängt und die Informationen möglicherweise dazu geeignet sind, im ausländischen Verfahren gegen die betroffene Person verwendet zu werden, ist in casu - in Übereinstimmung mit den Erwägungen in der Schlussverfügung der Vorinstanz - die voraussichtliche Erheblichkeit sämtlicher Informationen gegeben. Entsprechend spielt es für die Erfüllung der Voraussetzung der voraussichtlichen Erheblichkeit auch keine Rolle, ob - wie die Beschwerdeführerin behauptet - das MoF tatsächlich nur an einer spezifischen Transaktion («share premium») interessiert ist oder nicht. Es gelingt der Beschwerdeführerin mit den unsubstantiierten Behauptungen weder aufzuzeigen, dass ein Zusammenhang zwischen den verlangten Informationen und der in Indien durchgeführten Untersuchung wenig wahrscheinlich erscheint, noch vermag sie substantiiert die Erklärungen des MoF zu entkräften, weswegen auch deshalb kein Anlass besteht, an der Richtigkeit der Ausführungen und Erklärungen der ersuchenden Behörde zu zweifeln. So erschliesst sich dem Bundesverwaltungsgericht auch nicht, inwiefern in diesem Zusammenhang die von der Beschwerdeführerin angeführten «bank statements» gerade nicht voraussichtlich erheblich sein sollen.</w:t>
      </w:r>
    </w:p>
    <w:p>
      <w:r>
        <w:rPr>
          <w:b/>
        </w:rPr>
        <w:t>E. 3.2.2</w:t>
      </w:r>
    </w:p>
    <w:p>
      <w:r>
        <w:t>Ferner haben weder die Vorinstanz noch das mittels Beschwerde angerufene Bundesverwaltungsgericht zu beurteilen, ob - wie die Beschwerdeführerin ausführt - eine Steuerforderung gemäss den Gesetzen des ersuchenden Staates verjährt sei, und deshalb die ersuchten Informationen nicht mehr voraussichtlich erheblich seien (E. 2.4). Ohnehin hat das MoF im vorliegenden Amtshilfeverfahren zwar auf eine drohende Verjährung hingewiesen und als Datum den 31. Dezember 2018 angegeben. Fast ein Jahr nach diesem Datum hat das MoF gegenüber der ESTV aber impliziert, das Amtshilfeverfahren sei fortzuführen und hat es das Ersuchen nicht zurückgezogen (vgl. E-Mail vom 25. November 2019, Vernehmlassungsbeilage 101). In seinem Begleitschreiben zum Ersuchen erklärte das MoF überdies gar ausdrücklich, dass «it may please be noted that the information sought in this case would be useful even beyond the date given at SI. No. 6 of the Annexure during appellate stages and/or for other proceedings under the Indian Income-tax laws in this case». Entsprechend und aufgrund dieser ausdrücklichen Bestätigung im Begleitschreiben zum Ersuchen (dass auch bei eintretender Verjährung um Amtshilfe gebeten wird) ist gestützt auf das völkerrechtliche Vertrauensprinzip (vgl. dazu vorne E. 2.3.1) auf die genannte Erklärung der ersuchenden Behörde abzustellen, ohne dass das innerstaatliche indische Recht zur Verjährungsfrage geprüft werden müsste. Somit ist der Vorinstanz rechtsprechungsgemäss beizupflichten, dass sie vorliegend nicht zu prüfen hat, wie es sich diesbezüglich mit dem Verfahren im ersuchenden Staat verhält (vgl. E. 2.4 und Urteil des BVGer A-2981/2019 vom 1. September 2020 E. 2.4). Nichts Anderes hat mit Bezug auf das zwischenzeitliche Vorbringen der Beschwerdeführerin zu gelten, wonach im ersuchenden Staat das Gegenstand des vorliegenden Amtshilfeverfahrens bildende Steuerprüfungsverfahren abgeschlossen sei, weshalb die Informationen entsprechend nicht mehr voraussichtlich erheblich seien. Zwar reicht sie als Beleg ein «ASSESMENT ORDER» vom 30. Dezember 2019 des MoF über die Steuerjahre 2016/17 nach. Jedoch geht daraus keineswegs hervor, dass dabei Transaktionen mit der Beschwerdeführerin beurteilt worden wären, wie sie auch Gegenstand des vorliegenden Amtshilfeersuchens bilden. Beispielsweise wird in diesem Aktenstück der Begriff «share premium» mit keinem Wort erwähnt, der auf eine Parallelität hätte schliessen lassen. Das Aktenstück weist insgesamt keinerlei eindeutigen Elemente auf, welche die Annahme nahelegen würden, das fragliche Steuerprüfungsverfahren im ersuchenden Staat sei bereits abgeschlossen. In Ziff. 5 des nachgereichten Belegs wird zudem gar ein Vorbehalt der ordnungsgemässen Überprüfung verfügt («...after due verification»), was eher gegen einen Abschluss des Steuerprüfungsverfahrens sprechen würde. Jedenfalls gelingt der Beschwerdeführerin nicht, die Sachverhaltsdarstellung im Ersuchen bzw. die gestützt auf das völkerrechtliche Vertrauensprinzip grundsätzlich verbindliche Erklärung des ersuchenden Staates, er benötige die erfragten Informationen (selbst dann, wenn die Verjährung eintreten werde), mittels Urkunden klarerweise und entscheidend zu widerlegen (s. E. 2.3.1). Bei alledem kann offenbleiben, ob das nachgereichte «ASSESMENT ORDER» des Steuerjahres 2016/17 überhaupt die im vorliegenden Amtshilfeverfahren einschlägige Steuerperiode 2015/16 betrifft, wie die Beschwerdeführerin gestützt auf das indische Recht behauptet. Entsprechend ist in der vorliegenden Konstellation auch der nachträgliche Antrag (Triplik vom 16. Juli 2020), die ESTV sei anzuweisen, sich vom ersuchenden Staat bestätigen zu lassen, dass das fragliche Steuerprüfungsverfahren abgeschlossen sei bzw. die erfragten Informationen nicht mehr benötigt werden, abzuweisen (soweit nicht ohnehin verspätet erfolgt).</w:t>
      </w:r>
    </w:p>
    <w:p>
      <w:r>
        <w:rPr>
          <w:b/>
        </w:rPr>
        <w:t>E. 3.3</w:t>
      </w:r>
    </w:p>
    <w:p>
      <w:r>
        <w:t>Bei den ersuchten Informationen handelt es sich entgegen der beschwerdeführerischen Auffassung um Unterlagen (vgl. Sachverhalt Bst. A sowie E. 3.2), welche ebenfalls für die Besteuerung der Beschwerdeführerin relevant sein könnten, sie also auch betreffen. Die Informationen könnten daher, wenn sich der Sachverhalt ausschliesslich in der Schweiz abgespielt hätte, gestützt auf Art. 126 DBG von der Beschwerdeführerin erhoben werden (vgl. E. 2.6.4). Ohnehin wären die Angaben auch gestützt auf den Auffangtatbestand von Art. 127 Abs. 1 Bst. e DBG erhältlich, da die bescheinigungspflichtige Beschwerdeführerin in einer Rechtsbeziehung zur betroffenen Person als Aktionärin steht (E. 2.6.4). Der Beschwerdeführerin - soweit sie sich auf das schweizerische Steuerverfahrensrecht bezieht und geltend macht, die strittigen Informationen wären gestützt darauf nicht erhältlich - ist damit auch in diesem Punkt nicht zu folgen.</w:t>
      </w:r>
    </w:p>
    <w:p>
      <w:r>
        <w:rPr>
          <w:b/>
        </w:rPr>
        <w:t>E. 3.4</w:t>
      </w:r>
    </w:p>
    <w:p>
      <w:r>
        <w:t>Als Zweck, für welchen das Ersuchen gestellt wurde, gab das MoF «determination, assessment and collection of taxes» an. Überdies bestätigt das MoF, dass «all information received in relation to the request will be kept confidential and used only for the purposes permitted in the agreement which forms the basis for the request». Vorliegend ist entsprechend der Darstellung im Ersuchen und dem völkerrechtlichen Vertrauensprinzip folgend, davon auszugehen, dass das Ersuchen nicht anderen Zwecken dient. Die Vorbringen der Beschwerdeführerin betreffend Spezialitätsprinzip - es würden Informationen anderen Zwecken als den erfragten dienen und nicht in Zusammenhang mit der Besteuerung der betroffenen Person stehen - sind somit ebenfalls lediglich unsubstantiierte Behauptungen und vermögen keine konkreten sowie stichhaltigen Anhaltspunkte für eine zweckwidrige Verwendung zu liefern. Immerhin ist anzufügen, dass international wie national unterschiedliche Auffassungen darüber bestehen, wie weit der Spezialitätsvorbehalt reicht und insbesondere, ob ihm eine persönliche Dimension zukommt. Damit ist es angezeigt, dass die ESTV das MoF anlässlich der Übermittlung der ersuchten Informationen über den Umfang der Verwendungsbeschränkung informiert. Die ESTV wird Ziff. 4 des Dispositivs der angefochtenen Verfügung entsprechend zu präzisieren haben (Urteil des BVGer A-5522/2019 vom 18. August 2020 E. 3.4.3).</w:t>
      </w:r>
    </w:p>
    <w:p>
      <w:r>
        <w:rPr>
          <w:b/>
        </w:rPr>
        <w:t>E. 3.5</w:t>
      </w:r>
    </w:p>
    <w:p>
      <w:r>
        <w:t>Die Beschwerdeführerin bringt schliesslich vor, dass gewisse in den Unterlagen genannte Drittpersonen nicht durch die ESTV über das Ersuchen informiert worden seien und beantragt die Schwärzung von deren Namen. Nach der jüngsten Rechtsprechung des Bundesgerichts hat die Vorinstanz, nur diejenigen Personen über das Amtshilfeverfahren in Kenntnis zu setzen, deren Legitimation aufgrund der Akten evident ist (E. 2.7.2). Allein der Umstand, dass weitere Drittperson in den zur Übermittlung vorgesehenen voraussichtlich erheblichen Unterlagen namentlich genannt sind, genügt nicht, um eine entsprechende Informationspflicht zu begründen. Mangels besonderer Umstände und weil durch die Beschwerdeführerin keine Gründe angeführt worden sind, welche eine Informationspflicht dieser Dritten begründen würden, vermag die Beschwerdeführerin in diesem Punkt rechtsprechungsgemäss nicht zu überzeugen. Betreffend Schwärzung von Drittpersonen ist den Ausführungen der Beschwerdeführerin entgegenzuhalten, dass diese Dritten ebenso nach der jüngsten Rechtsprechung des Bundesgerichts durch das Spezialitätsprinzip geschützt sind (s. E. 2.7.2). Bei diesem Ergebnis kann offenbleiben, ob die Beschwerdeführerin den Schwärzungsantrag unzulässigerweise stellvertretend für diese Dritten bzw. in deren Interesse erhebt, und rechtsprechungsgemäss eigentlich darauf nicht einzutreten wäre (vgl. hierzu E. 2.7.3). Mit Bezug auf die Drittpersonen, soweit sie die Beschwerdeführerin lediglich pauschal als «Kunden» und «Lieferanten» oder «Dienstleister» bezeichnet, ist also der Schwärzungsantrag abzuweisen, auch wenn die Beschwerdeführerin hierfür auch den Verhältnismässigkeitsgrundsatz oder datenschutzrechtliche Aspekte vorträgt. Mit Bezug auf die eigenen «Mitarbeiter», deren Namensangaben die Beschwerdeführerin ebenfalls geschwärzt haben möchte, verweist die Beschwerdeführerin in diesem Zusammenhang lediglich in pauschaler Weise auf die «Beilage 3 der Schlussverfügung» (IBAN [...], s. Vernehmlassungsbeilage 27). Es handle sich bei den entsprechenden Transaktionen im Wesentlichen um Spesenzahlungen an ihre Mitarbeitende. Indes benennt die Beschwerdeführerin für die dort figurierenden, weit über 1000 Transaktionen (auf rund 250 Seiten Kontoauszüge) keinen einzigen Mitarbeitenden namentlich, geschweige denn zeigt sie auf, dass es sich bei den Zahlungsempfängern je um einen ihrer Mitarbeitenden handelt. Ebenso wenig weist sie auch nur im Ansatz nach, dass es sich bei den Transaktionen um Spesenzahlungen handeln könnte. Dem Erfordernis, dass jedes einzelne Aktenstück, das oder dessen Inhalt geschwärzt werden soll, zu bezeichnen ist bzw. darzulegen ist, weshalb die Namensangaben zu schwärzen sind, ist vorliegend keineswegs Genüge getan (vgl. E. 2.7.4). Bei der Durchsicht der Transaktionsliste ist dem Gericht allerdings aufgefallen, dass es sich bei den zwei als «EXPENSES REFUND» bezeichneten Zahlungen je an C._______, (Ort) möglicherweise um Spesenzahlungen an eine mutmassliche Mitarbeiterin gehandelt haben könnte (s. Vernehmlassungsbeilage 27, S. 58). Gleich verhält es sich womöglich mit der Zahlung «TRAVEL EXPENSES» an D._______, ohne Wohnsitzangabe (s. Vernehmlassungsbeilage 27, S. 161 f.). Ohne Weiteres und unpräjudizierend (da ungenügend substanziierter Schwärzungsantrag) kann angenommen werden, dass die Information über diese drei Spesenzahlungen an Mitarbeitende der schweizerisch ansässigen Beschwerdeführerin für die Besteuerung der betroffenen Person in Indien nicht voraussichtlich erheblich ist. Entsprechend ist die Vorinstanz anzuweisen, dass diese drei Transaktionen in den zu übermittelnden Informationen zu schwärzen sind. Nur der Vollständigkeit halber ist schliesslich zu erwähnen, dass die Vorbringen durch mit der Schlussverfügung erfolgte Schwärzungen und Aussonderungen von nicht amtshilfefähigen Informationen bereits gegenstandslos wären.</w:t>
      </w:r>
    </w:p>
    <w:p>
      <w:r>
        <w:rPr>
          <w:b/>
        </w:rPr>
        <w:t>E. 4.1</w:t>
      </w:r>
    </w:p>
    <w:p>
      <w:r>
        <w:t>Die Beschwerde ist in äusserst marginalem Umfang gutzuheissen (E. 3.5), im Übrigen aber abzuweisen. Diese Geringfügigkeit des Obsiegens ist bei der Kostenveranlagung nicht zu berücksichtigen. Ausgangsgemäss hat die Beschwerdeführerin die Verfahrenskosten vollumfänglich zu tragen (vgl. Art. 63 Abs. 1 VwVG). Diese sind auf CHF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entsprechend (E. 4.1) nicht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