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A-6805/2009 vom 9. September 2010</w:t>
      </w:r>
    </w:p>
    <w:p>
      <w:r>
        <w:t>Bundesverwaltungsgericht, 2010-09-09, DE</w:t>
      </w:r>
    </w:p>
    <w:p>
      <w:r>
        <w:rPr>
          <w:b/>
        </w:rPr>
        <w:t xml:space="preserve">Quelle: </w:t>
      </w:r>
      <w:r>
        <w:t>https://mcp.opencaselaw.ch/entscheid/bvger_A-6805_2009</w:t>
      </w:r>
    </w:p>
    <w:p>
      <w:r>
        <w:t>FR: TAF A-6805/2009 du 9 septembre 2010</w:t>
      </w:r>
    </w:p>
    <w:p>
      <w:r>
        <w:t>IT: TAF A-6805/2009 del 9 settembre 2010</w:t>
      </w:r>
    </w:p>
    <w:p>
      <w:pPr>
        <w:pStyle w:val="Heading2"/>
      </w:pPr>
      <w:r>
        <w:t>Regeste</w:t>
      </w:r>
    </w:p>
    <w:p>
      <w:r>
        <w:t>Eidgenössische Technische Hochschule (Ohne Personal)</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ETH Zürich gehört zu den Behörden nach Art. 33 VGG und es liegt keine Ausnahme gemäss Art. 32 Abs. 2 Bst. a VGG vor. Fraglich und nachfolgend zu prüfen ist hingegen, ob beim angefochtenen Beschluss der ETH Zürich vom 29. September 2009 von einer Verfügung im Sinne von Art. 5 VwVG auszugehen ist.</w:t>
      </w:r>
    </w:p>
    <w:p>
      <w:r>
        <w:rPr>
          <w:b/>
        </w:rPr>
        <w:t>E. 2</w:t>
      </w:r>
    </w:p>
    <w:p>
      <w:r>
        <w:t>Eine Verfügung gemäss Art. 5 VwVG ist dann anzunehmen, wenn alle materiellen Elemente des Verfügungsbegriffs vorliegen. Eine Verfügung ist daher ungeachtet ihrer Form gegeben im Falle eines individuellen, an den Einzelnen gerichteten Hoheitsakts, durch den eine konkrete verwaltungsrechtliche Beziehung rechtsgestaltend oder feststellend in verbindlicher und erzwingbarer Weise geregelt wird (BGE 133 II 450 E. 2.1; ANDRÉ MOSER / MICHAEL BEUSCH / LORENZ KNEUBÜHLER, Prozessieren vor dem Bundesverwaltungsgericht, Basel 2008, Rz. 2.5, FEXLIX UHLMANN, in: VwVG: Praxiskommentar zum Bundesgesetz über das Verwaltungsverfahren, Zürich 2009, Art. 5, Rz. 17 ff.). Was das Erfordernis der Rechtswirkungen betrifft, so ist entscheidend, ob das Handlungsziel der Behörden die Regelung, d.h. die bewusste, ausdrückliche und verbindliche Gestaltung der Rechtsstellung des Betroffenen ist. Wegen fehlender Ausrichtung auf Rechtswirkungen nicht als Verfügung im Sinne von Art. 5 VwVG gelten beispielsweise bloss auf tatsächliche Erfolge abzielende Realakte oder interne Anordnungen (vgl. dazu UHLMANN, a.a.O., Art. 5, Rz. 89 f. und 95, PIERRE TSCHANNEN / ULRICH ZIMMERLI / MARKUS MÜLLER, Allgemeines Verwaltungsrecht, 3. Aufl., Bern 2009, § 38 Rz. 1 ff.).</w:t>
      </w:r>
    </w:p>
    <w:p>
      <w:r>
        <w:rPr>
          <w:b/>
        </w:rPr>
        <w:t>E. 2.1</w:t>
      </w:r>
    </w:p>
    <w:p>
      <w:r>
        <w:t>Was Ziff. 3 des Beschlusses vom 29. September anbelangt, so enthält diese mit Ausnahme des zweiten Satzes im Vergleich zur Ziff. 3 des Beschlusses vom 15. September 2009 inhaltlich nichts Neues (vgl. dazu A-5986/2009). Aufgrund des Prinzips der Einmaligkeit des Rechtsschutzes kommt daher der erste Satz in diesem Fall von vornherein als Anfechtungsobjekt nicht in Frage. Der zweite Satz enthält lediglich eine interne Anweisung an die Rektorin, hat aber nicht die Regelung von Rechten und Pflichten des Beschwerdeführers zum Gegenstand und stellt daher keine Verfügung im Sinne von Art. 5 VwVG dar.</w:t>
      </w:r>
    </w:p>
    <w:p>
      <w:r>
        <w:rPr>
          <w:b/>
        </w:rPr>
        <w:t>E. 2.2</w:t>
      </w:r>
    </w:p>
    <w:p>
      <w:r>
        <w:t>Den Ziff. 1 und 4 des Beschlusses vom 29. September 2009 kommt kein Verfügungscharakter zu, da damit nur der Ausstand von B._______ und die Mitteilung des Beschlusses und somit keine Rechten und Pflichten des Beschwerdeführers geregelt werden.</w:t>
      </w:r>
    </w:p>
    <w:p>
      <w:r>
        <w:rPr>
          <w:b/>
        </w:rPr>
        <w:t>E. 2.3</w:t>
      </w:r>
    </w:p>
    <w:p>
      <w:r>
        <w:t>Ob hingegen der Einstellung des Untersuchungsverfahrens gemäss Ziff. 2 des Beschlusses Verfügungscharakter zukommt, hängt vom Zweck und den Wirkungen des Untersuchungsverfahrens bzw. seiner Einstellung ab.</w:t>
      </w:r>
    </w:p>
    <w:p>
      <w:r>
        <w:rPr>
          <w:b/>
        </w:rPr>
        <w:t>E. 2.3.1</w:t>
      </w:r>
    </w:p>
    <w:p>
      <w:r>
        <w:t>Dem Untersuchungsverfahren gemäss der Verfahrensordnung vom 30. März 2004 bei Verdacht auf Fehlverhalten in der Forschung an der ETH Zürich (Verfahrensordnung, RSETHZ 415) kommt der Charakter einer Administrativuntersuchung zu, da mit diesem Verfahren als Instrument der Dienstaufsicht allgemein dem Fehlverhalten in der Forschung nachgegangen werden soll (Art. 1 und 5 der Verfahrensordnung; vgl. zur Administrativuntersuchung Gutachten des Bundesamtes für Justiz vom 19. Dezember 2002 [Gutachten], veröffentlicht in Verwaltungspraxis der Bundesbehörden [VPB] 67.100, S. 989 f.; RAINER J. SCHWEIZER, Grundsatzfragen der Administrativuntersuchung, in: Administrativuntersuchung in der öffentlichen Verwaltung und in privaten Grossunternehmen [Administrativuntersuchung], St. Gallen 2004, S. 10 ff.). Im Falle einer Administrativuntersuchung wird regelmässig eine von der kontrollierten Verwaltungseinheit unabhängige Kontrollinstanz mit einer umfassenden Abklärung der Missstände beauftragt. Abgeschlossen wird die Untersuchung mit der Abgabe des Untersuchungsberichts an den Auftraggeber. Der abgeschlossenen Administrativuntersuchung kommt keine direkte rechtliche Wirkung zu. Es erfolgt keine autoritative Feststellung, Begründung oder Aufhebung von Rechten und Pflichten für die Betroffenen, selbst wenn diese mit Aussagen im Bericht belastet werden (Urteil des Bundesgerichts 1A.137/2004 vom 25. Juni 2004 E. 1; Gutachten, S. 1006 f.; RENÉ BACHER, Erfahrungen und generelle Lehren zu Auftrag und Organisation von Administrativuntersuchungen, in: Administrativuntersuchung, S. 32 und 35, SCHWEIZER, a.a.O., S. 17). Soweit aber die Ergebnisse der Unter-suchung unter Wahrung der Verfahrensgrundsätze des VwVG zustande gekommen sind, können sie Grundlagen für spätere Verfahren, insbesondere Verwaltungs- und Disziplinarverfahren bilden, welche ihrerseits die Festlegung von Rechten und Pflichten zum Ziel haben (Gutachten, S. 1006 f.).</w:t>
      </w:r>
    </w:p>
    <w:p>
      <w:r>
        <w:rPr>
          <w:b/>
        </w:rPr>
        <w:t>E. 2.3.2</w:t>
      </w:r>
    </w:p>
    <w:p>
      <w:r>
        <w:t>Daraus ergibt sich, dass die Einstellung des Untersuchungsverfahrens nicht auf die Regelung von Rechten und Pflichten des Beschwerdeführers, sondern bloss auf einen tatsächlichen Erfolg abzielt. Die Einstellung stellt somit bloss einen Realakt dar und Ziff. 3 des Beschlusses vom 29. September 2009 kommt kein Verfügungscharakter zu. Hingegen wäre ein allfälliger späterer Titelentzug auf Rechtswirkungen ausgerichtet und würde demnach eine anfechtbare Verfügung darstellen (vgl. auch Art. 9 Abs. 4 und Anhang II der Verfahrensordnung; Art. 9 Abs. 4 der Disziplinarordnung vom 2. November 2004 der Eidgenössischen Technischen Hochschule Zürich [Disziplinarordnung ETH Zürich, SR 414.138.1]). Im Rahmen einer Beschwerde gegen eine solche Verfügung könnte dann auch das Untersuchungsverfahren überprüft werden.</w:t>
      </w:r>
    </w:p>
    <w:p>
      <w:r>
        <w:rPr>
          <w:b/>
        </w:rPr>
        <w:t>E. 2.3.3</w:t>
      </w:r>
    </w:p>
    <w:p>
      <w:r>
        <w:t>Im Übrigen ist in Übereinstimmung mit E. 2.3.1 festzuhalten, dass vorliegend die Einstellung nicht den Abschluss des Untersuchungsverfahrens darstellt. Die Einstellung des Untersuchungsverfahrens ist in der Verfahrensordnung nur für die Fälle der Unbegründetheit der Beschuldigung vorgesehen (Art. 8 Verfahrensordnung) und daher in diesem Fall irreführend. Den Abschluss des Verfahrens bildet vielmehr der Untersuchungsbericht vom 15. Juli 2009. Inwiefern die Veröffentlichung des Untersuchungsberichts anfechtbar ist, ist hier indes nicht zu entscheiden, da dies Gegenstand des Verfahrens A-5986/2009 ist.</w:t>
      </w:r>
    </w:p>
    <w:p>
      <w:r>
        <w:rPr>
          <w:b/>
        </w:rPr>
        <w:t>E. 2.4</w:t>
      </w:r>
    </w:p>
    <w:p>
      <w:r>
        <w:t>Zusammenfassend ist somit festzuhalten, dass auf die vorliegende Beschwerde mangels einer Verfügung im Sinne von Art. 5 VwVG nicht einzutreten ist.</w:t>
      </w:r>
    </w:p>
    <w:p>
      <w:r>
        <w:rPr>
          <w:b/>
        </w:rPr>
        <w:t>E. 3</w:t>
      </w:r>
    </w:p>
    <w:p>
      <w:r>
        <w:t>Bei einem solchen Ausgang des Verfahrens sind die Verfahrenskosten dem Beschwerdeführer aufzuerlegen (Art. 63 Abs. 1 VwVG). Sie werden bestimmt auf Fr. 1'000.- und sind mit dem geleisteten Kostenvorschuss in der Höhe von Fr. 1'000.- zu verrechnen.</w:t>
      </w:r>
    </w:p>
    <w:p>
      <w:r>
        <w:rPr>
          <w:b/>
        </w:rPr>
        <w:t>E. 4</w:t>
      </w:r>
    </w:p>
    <w:p>
      <w:r>
        <w:t>Der ganz oder teilweise obsiegenden Partei ist von Amtes wegen oder auf Begehren eine Entschädigung für ihr erwachsene notwendige und verhältnismässig hohe Kosten zuzusprechen (Art. 64 Abs. 1 VwVG i.V.m. Art. 7 Abs. 1 des Reglements vom 21. Februar 2008 über die Kosten und Entschädigungen vor dem Bundesverwaltungsgericht [VGKE, SR 173.320.2]). Sie kann einer unterliegenden Gegenpartei je nach deren Leistungsfähigkeit auferlegt werden, wenn sich die Partei mit selbständigen Begehren am Verfahren beteiligt hat (Art. 64 Abs. 3 VwVG). Keinen Anspruch auf Parteientschädigung haben trotz Obsiegens und selbst bei Beizug eines praktizierenden Rechtsanwalts Bundesbehörden (Art. 7 Abs. 3 VGKE). Der Rechtsvertreter des Beigeladenen hat keine Honorarnote eingereicht, weswegen die Entschädigung auf Grund der Akten festzusetzen ist (Art. 14 Abs. 2 VGKE). Gestützt auf die in Betracht zu ziehenden Bemessungsfaktoren (Art. 8-11 und 13 VGKE) und des aufgrund der Akten als angemessen erscheinenden zeitlichen Aufwands der anwaltlichen Vertretung des Beigeladenen, ist die Parteientschädigung auf Fr. 7'500.- (inkl. Auslagen und Mehrwertsteuer) festzusetzen. Diese ist dem Beigeladenen durch den Beschwerdeführer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