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A-6766/2013 vom 9. Februar 2015</w:t>
      </w:r>
    </w:p>
    <w:p>
      <w:r>
        <w:t>Bundesverwaltungsgericht, 2015-02-09, IT</w:t>
      </w:r>
    </w:p>
    <w:p>
      <w:r>
        <w:rPr>
          <w:b/>
        </w:rPr>
        <w:t xml:space="preserve">Quelle: </w:t>
      </w:r>
      <w:r>
        <w:t>https://mcp.opencaselaw.ch/entscheid/bvger_A-6766_2013</w:t>
      </w:r>
    </w:p>
    <w:p>
      <w:r>
        <w:t>FR: TAF A-6766/2013 du 9 février 2015</w:t>
      </w:r>
    </w:p>
    <w:p>
      <w:r>
        <w:t>IT: TAF A-6766/2013 del 9 febbraio 2015</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L'autorità inferiore (ESTI), sottoposta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La sua decisione del 31 ottobre 2013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dal destinatario della decisione impugnata (art. 22 segg., art. 48 e 50 PA), il ricorso adempie alle esigenze di forma e di contenuto previste all'art. 52 PA. Occorre pertanto entrare nel merito.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121 V 204 consid. 6c; ANDRÉ MOSER/MICHAEL BEUSCH/LORENZ KNEUBÜHLER, Prozessieren vor dem Bundesverwaltungsgericht, Basilea 2013, n. 3.198).</w:t>
      </w:r>
    </w:p>
    <w:p>
      <w:r>
        <w:rPr>
          <w:b/>
        </w:rPr>
        <w:t>E. 3</w:t>
      </w:r>
    </w:p>
    <w:p>
      <w:r>
        <w:t>Nel caso in esame, il ricorrente ha chiesto di annullare la "tassa/sanzione" o "sanzione/multa" comminatagli con la decisione dell'ESTI del 31 ottobre 2013. A sostegno delle proprie allegazioni, A._______ ha rilevato di non essere il proprietario dell'immobile oggetto di controllo come pure - visto il sequestro imposto dalle autorità penali sull'intero mappale sul quale si trova l'appartamento in questione - di non avere la "facoltà di entrare nel locale e di decidere chi vi può accedere". A proposito dell'ammontare di 600 franchi addossato al ricorrente con decisione impugnata, lo scrivente Tribunale rileva che giusta l'art. 9 cpv. 1 dell'ordinanza del 7 dicembre 1992 sull'Ispettorato federale degli impianti a corrente forte (O-ESTI, RS 734.24) per il rilascio, la modifica o la revoca di omologazioni e autorizzazioni, l'emanazione di divieti e per altre disposizioni e decisioni, l'Ispettorato preleva una tassa non superiore a 3000 franchi, inoltre l'ammontare della tassa è fissato secondo il dispendio effettivo che l'atto impone all'Ispettorato. È dunque a torto che il ricorrente pretende di essere oggetto di una "sanzione/multa", allega­zione che del resto non sostanzia in modo chiaro e approfondito, se non richiamando genericamente l'art. 6 della Convenzione del 4 novembre 1950 per la salvaguardia dei diritti dell'uomo e delle libertà fondamentali (CEDU, RS 0.101). Visto quanto precede occorre quindi precisare come le tasse procedurali - dovutamente previste nei relativi e summenzionati disposti legali - non sono per niente delle sanzioni o qualsivoglia multe, bensì spese cagio­nate dalla necessità dell'intervento da parte dell'autorità competente; per quanto riguarda l'ammontare delle spese in questione, lo scrivente Tribunale ha precedentemente e ripetutamente avuto occasione di confermare che rispettano la legge ed i principi costituzionali ivi applicabili (cfr. [fra le tante] sentenze del TAF A-411/2008 del 25 novembre 2008 consid. 7.1; A-190/2013 del 27 maggio 2013 consid. 4; A-2251/2013 del 13 dicembre 2013 consid. 4). Non è fondamentalmente contestato - a giusto titolo (cfr. consid. 4 qui di seguito) - l'obbligo di fornire un RaSi al gestore di rete; predetto RaSI non è tuttavia ancora stato inoltrato. Il ricorrente si limita, in questo ambito, ad invitare l'autorità di prima istanza a chiedere alle autorità penali di proce­dere o far procedere alle necessarie misure e, conseguentemente, di comminare le spese procedurali legate al trattamento del caso - leggen­do le considerazioni contenute nel ricorso - al Ministero Pubblico ticinese.</w:t>
      </w:r>
    </w:p>
    <w:p>
      <w:r>
        <w:rPr>
          <w:b/>
        </w:rPr>
        <w:t>E. 4</w:t>
      </w:r>
    </w:p>
    <w:p>
      <w:r>
        <w:t>Secondo l'art. 20 cpv. 1 LIE la vigilanza sugl'impianti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Se, dopo due diffide, il rapporto di sicu­rezza non è stato presentato entro il termine stabilito, il gestore della rete affida all'ESTI l'esecuzione dei controlli periodici (art. 36 cpv. 3 OIBT). Sulla base di queste disposizioni, la responsabilità di assicurare che gli impianti elettrici soddisfino costantemente i requisiti legali spetta al pro­prietario dell'immobile. Per ogni periodo di controllo, l'utente deve quindi fornirne la prova mediante la presentazione del rapporto di controllo periodico. Se non lo fa o non rispetta i termini comminatigli, ne subirà le conseguenze (cfr. sentenze del TAF A-6178/2009 del 22 febbraio 2010 consid. 3.2; A-7151/2008 del 10 febbraio 2009 consid. 3.2; A-6150/2009 del 21 gennaio 2010 consid. 6.3).</w:t>
      </w:r>
    </w:p>
    <w:p>
      <w:r>
        <w:rPr>
          <w:b/>
        </w:rPr>
        <w:t>E. 5</w:t>
      </w:r>
    </w:p>
    <w:p>
      <w:r>
        <w:t>Nella procedura amministrativa vale il principio inquisitorio secondo cui l'autorità accerta i fatti d'ufficio (art. 12 PA); in determinate circostanze le parti sono tenute a collaborare (art. 13 PA). Esse, tuttavia, non sono gravate da un vero e proprio fardello della prova come in diritto civile (Moser/Beusch/Kneubühler, op. cit., n. 3.119 e 3.149). Il Tribunale amministrativo federale apprezza liberamente i mezzi di prova offerti (art. 40 della legge federale del 4 dicembre 1947 di procedura civile [PC, SR 273] in relazione con l'art. 19 PA). La prova è addotta quando il Tribunale, fondandosi sull'apprezzamento delle prove in base a criteri oggettivi, giunge al convincimento che i fatti si sono realizzati (Moser/Beusch/Kneubühler, op. cit., n. 3.141).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TAF A-962/2009 del 23 luglio2009 con­sid. 6.3; Christoph Auer, in: Auer/Müller/Schindler [ed.], Kommentar VwVG, Zurigo 2008, n. 16 ad art. 12 PA; Moser/Beusch/Kneubühler, op. cit., n. 3.150; Patrick L. Krauskopf/Katrin Emmenegger, in: Waldmann/Weissenberger [ed.], Praxiskommentar VwVG, Zurigo 2009, n. 207 ad art. 12 PA; Ulrich Häfelin/Georg Müller/Felix Uhlmann, Allgemeines Verwaltungsrecht, 6a ed., Zurigo 2010, n. 1623)</w:t>
      </w:r>
    </w:p>
    <w:p>
      <w:r>
        <w:rPr>
          <w:b/>
        </w:rPr>
        <w:t>E. 5.1</w:t>
      </w:r>
    </w:p>
    <w:p>
      <w:r>
        <w:t>Come già menzionato, nel proprio gravame, il ricorrente invoca di non essere il proprietario dell'appartamento per il quale viene richiesto il RaSi.</w:t>
      </w:r>
    </w:p>
    <w:p>
      <w:r>
        <w:rPr>
          <w:b/>
        </w:rPr>
        <w:t>E. 5.2</w:t>
      </w:r>
    </w:p>
    <w:p>
      <w:r>
        <w:t>L'autorità inferiore ha invece riferito che la procedura condotta sarebbe corretta poiché il ricorrente è amministratore unico della società C._______, proprietaria dell'immobile. Inoltre A._______ sarebbe stato sollecitato più volte a presentare il rapporto del controllo periodico in esame e ciò già nel 2008. Ad ulteriore comprova delle proprie allegazioni, l'ESTI rileva infine che il ricorrente ha dato seguito ai solleciti del 28 febbraio 2013 con lettera dell'11 giugno 2013 in cui ha chiesto una proroga al gestore di rete, nonché con email del 6 settembre e del 31 ottobre 2013. Lo scrivente Tribunale constata che in effetti c'è stata una corrispondenza tra l'indirizzo elettronico del ricorrente e l'Autorità di prima istanza. Il ricorrente si era per altro anche manifestato tramite lettera raccomandata alle AIL in data 11 giugno 2013. Si osserva pure come il ricorrente, o la persona chiamata E._______ che ovviamente rispondeva via email all'autorità di prima istanza, mai abbiano precisato che A._______ non era proprietario, bensì l'amministratore unico della società C._______, in realtà vera proprietaria dell'immobile.</w:t>
      </w:r>
    </w:p>
    <w:p>
      <w:r>
        <w:rPr>
          <w:b/>
        </w:rPr>
        <w:t>E. 5.3</w:t>
      </w:r>
    </w:p>
    <w:p>
      <w:r>
        <w:t>Visto quanto precede, però (consid. 4 e 5), competeva all'autorità di prima istanza, verificare l'identità del proprietario dell'immobile in questione, cosa che è stata fatta già il 3 luglio 2013 e quindi prima della decisione (cfr. doc. 8 incarto ESTI, con l'indicazione che il proprietario sarebbe stato il ricorrente) e successivamente alla decisione impugnata (cfr. doc. 14 a 17 incarto ESTI, da dove emerge invece che il ricorrente non è il proprietario dell'immobile). Si evince inoltre dagli atti che i singoli scritti (richiesta e richiami) dalle AIL, come pure la lettera di trasferimento della pratica del 31 ottobre 2013, sono stati inviati alla "F._______, Via (...), X._______", la cui ragione sociale è stata modificata in "G._______ in liquidazione", dal 13 maggio 2013. Con scritto raccomandato del 28 febbraio 2013, l'ESTI ha sollecitato a sua volta, ritenendola anch'egli proprietaria a torto, la "D._______" a voler mettersi in regola con la produzione del rapporto di sicurezza mancante entro il 28 aprile 2013. Scritto raccomandato a cui ha risposto A._______ con lettera dell'11 giugno 2013, chiedendo una proroga di un anno per la presentazione del RaSi. È in seguito a quest'ultimo intervento che l'autorità di prima istanza - ritenendolo erro­neamente proprietario dell'immobile - ha sollecitato il RaSI da A._______ personalmente, con scritto raccomandato del 3 luglio 2013, notificato al proprio domicilio privato in Via (...), Z._______.</w:t>
      </w:r>
    </w:p>
    <w:p>
      <w:r>
        <w:rPr>
          <w:b/>
        </w:rPr>
        <w:t>E. 5.4</w:t>
      </w:r>
    </w:p>
    <w:p>
      <w:r>
        <w:t>Come più sopra evidenziato, è tuttavia emerso che la proprietaria dell'immobile, sin dal 2007, risulta essere la società C._______ (cfr. estratto SIFTI, doc. 16 incarto ESTI). Ne discende dunque che gli scritti trasmessi alla D._______ e a A._______, per di più al proprio indirizzo privato, dal gestore di rete prima e dall'autorità di prima istanza poi, nonché la decisione impugnata stessa, non possono essere considerati notifiche avvenute correttamente in capo alla proprietaria dell'immobile C._______, giuridicamente tenuta di assicurare la sicurezza degli impianti elettrici dell'appartamento in oggetto (cfr. prec. consid. 4).</w:t>
      </w:r>
    </w:p>
    <w:p>
      <w:r>
        <w:rPr>
          <w:b/>
        </w:rPr>
        <w:t>E. 5.5</w:t>
      </w:r>
    </w:p>
    <w:p>
      <w:r>
        <w:t>A fronte di quanto sopra, il Tribunale rileva che in assenza di una valida notifica alla proprietaria dell'immobile la decisione dell'ESTI risulta essere carente sotto il profilo formale. Per questo motivo, il ricorso dovrà essere ammesso e la decisione impugnata annullata.</w:t>
      </w:r>
    </w:p>
    <w:p>
      <w:r>
        <w:rPr>
          <w:b/>
        </w:rPr>
        <w:t>E. 6</w:t>
      </w:r>
    </w:p>
    <w:p>
      <w:r>
        <w:t>Come considerato qui sopra, però, il RaSi richiesto non è ancora stato consegnato alle AIL; l'obbligo legale non è quindi ancora stato adempiuto dalla proprietaria responsabile ai sensi della legislazione. Il controllo periodico di impianti elettrici risponde ad un'esigenza d'interesse pubblico, segnatamente alla protezione di persone, proprietari e/o terze persone, quali ospiti artigiani o forze di salvataggio, e beni (cfr. sentenza del TF 2C_1/2009 dell'11 settembre 2009 consid. 4.4.1). In queste condizioni appartiene all'autorità di prima istanza di riavviare la procedura necessaria, rivolgendosi questa volta alla proprietaria dell'immobile e rispettando i dovuti requisiti di modo che finalmente sia adempiuto a questo obbligo legale. Allo stadio attuale delle cose, non compete allo scrivente Tribunale precisare quali misure debba adottare l'autorità di prima istanza per fare rispettare l'interesse pubblico summenzionato alla sicurezza.</w:t>
      </w:r>
    </w:p>
    <w:p>
      <w:r>
        <w:rPr>
          <w:b/>
        </w:rPr>
        <w:t>E. 7</w:t>
      </w:r>
    </w:p>
    <w:p>
      <w:r>
        <w:t>Visto l'esito della presente vertenza, ed in applicazione degli art. 63 cpv. 2 PA, non si prelevano spese processuali. Il ricorrente ha agito nella presente procedura facendosi assistere da un patrocinatore iscritto nel Registro cantonale degli avvocati del Cantone Ticino. Nella misura in cui al Tribunale non è giunta alcuna nota d'onora­rio, la presente autorità giudiziaria considera equo stabilire in 300 franchi (IVA inclusa) le spese necessarie derivanti dalla causa giudiziaria in esame, giusta l'art. 7 del regolamento del 21 febbraio 2008 sulle tasse e sulle spese ripetibili nelle cause dinanzi al Tribunale amministrativo federale (TS-TAF; RS 173.32). Ai sensi dell'art. 64 cpv. 1 PA, tale importo dovrà essere versato al ricorrente dall'autorità inferiore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