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A-6757/2010 vom 7. September 2011</w:t>
      </w:r>
    </w:p>
    <w:p>
      <w:r>
        <w:t>Bundesverwaltungsgericht, 2011-09-07, DE</w:t>
      </w:r>
    </w:p>
    <w:p>
      <w:r>
        <w:rPr>
          <w:b/>
        </w:rPr>
        <w:t xml:space="preserve">Quelle: </w:t>
      </w:r>
      <w:r>
        <w:t>https://mcp.opencaselaw.ch/entscheid/bvger_A-6757_2010</w:t>
      </w:r>
    </w:p>
    <w:p>
      <w:r>
        <w:t>FR: TAF A-6757/2010 du 7 septembre 2011</w:t>
      </w:r>
    </w:p>
    <w:p>
      <w:r>
        <w:t>IT: TAF A-6757/2010 del 7 settembre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(vgl. statt vieler: Urteil des Bundesgerichts 1C_124/2011 vom 11. Mai 2011 E. 1.2 mit Hinweisen). Der Beschwerdeführer erfüllt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9. August 2010 und nicht separat angefochten werden (Urteile des Bundesverwaltungsgerichts A-6242/2010 vom 11. Juli 2011 E. 1.2, A-6933/2010 vom 17. März 2011 E. 1.4).</w:t>
      </w:r>
    </w:p>
    <w:p>
      <w:r>
        <w:rPr>
          <w:b/>
        </w:rPr>
        <w:t>E. 1.3</w:t>
      </w:r>
    </w:p>
    <w:p>
      <w:r>
        <w:t>Mit Zwischenverfügung vom 24. Juni 2011 hiess das Bundesverwaltungsgericht das Gesuch verschiedener Drittpersonen um Beiladung im Hauptverfahren gut (vgl. Sachverhalt Bst. Q). Die Beigeladenen stellen in eigenem Namen ein Gesuch um Verfahrenssistierung, bis die ESTV über die datenschutzrechtlichen Fragen entschieden habe. Mit Zwischenverfügungen vom 4. und 25. Februar 2011 wies das Bundesverwaltungsgericht ein mit derselben Begründung gestelltes Sistierungsgesuch des Beschwerdeführers ab, da es der ESTV aufgrund des Devolutiveffekts der Beschwerde verwehrt ist, ausserhalb einer Wiedererwägung im Sinn von Art. 58 VwVG über den Streitgegenstand zu verfügen (vgl. Sachverhalt Bst. O). Auf diese auch den Vertretern der Beigeladenen bekannten Verfügungen wird verwiesen und das Gesuch der Beigeladenen um Sistierung des vorliegenden Verfahrens abgewiesen. Unter diesen Umständen ist der Antrag der Beigeladenen, die Vorinstanz sei anzuweisen, ihnen Parteistellung einzuräumen und zum Entscheid in der Datenschutzfrage den EDÖB beizuziehen, ebenfalls abzuweisen.</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A-6873/2010 vom 7. März 2011 E. 4.2, A-4034/2010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133 I 201 E. 2.2, 132 V 387 E. 5.1; BVGE 2009/36 E. 7.3). In Amtshilfeverfahren spricht zusätzlich das öffentliche Interesse an einem besonders beförder­lichen Verfahrensablauf gegen die Rückweisung der Sache an die Vorinstanz (vgl. zum Ganzen: Urteile des Bundesverwaltungsgerichts A-6605/2010 vom 23. August 2011 E. 2.1, A-6242/2010 vom 11. Juli 2011 E. 2.1). Demgegenüber ist eine Heilung dann ausgeschlossen, wenn es sich um eine besonders schwerwiegende Verletzung der Parteirechte handelt (vgl. Urteil des Bundesverwaltungsgerichts A-4034/2010 vom 11. Oktober 2010 mit Hinweisen). Desweiteren verlangt der Anspruch auf rechtliches Gehör,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BVGE 2010/35 E. 4.1.2, je mit Hinweisen).</w:t>
      </w:r>
    </w:p>
    <w:p>
      <w:r>
        <w:rPr>
          <w:b/>
        </w:rPr>
        <w:t>E. 2.2</w:t>
      </w:r>
    </w:p>
    <w:p>
      <w:r>
        <w:t>Der Beschwerdeführer ist der Auffassung, die Vorinstanz habe sich mit seinen in der Stellungnahme vom 11. Juli 2010 vorgetragenen Argumenten betreffend die Berechnung der Kapitalgewinne nicht genügend auseinandergesetzt und somit den Anspruch auf rechtliches Gehör verletzt. Die Vorinstanz legte in Erwägung 5b der angefochtenen Verfügung jedoch die für sie wesentlichen Punkte bei der Berechnung der Kapitalgewinne dar. Dass sie sich dabei nicht mit jeder Behauptung des Beschwerdeführers auseinandersetzte, sondern sich auf die entscheidrelevanten Gesichtspunkte beschränkte, ist nicht zu beanstanden. Dem Beschwerdeführer ist es ohne Weiteres möglich, die Schlussverfügung der Vorinstanz sachgerecht anzufechten. Eine Verletzung der sich aus dem Anspruch auf rechtliches Gehör ableitenden Begründungspflicht ist nicht auszumachen. Der Beschwerdeführer rügt zudem eine Verletzung seines Anspruchs auf rechtliches Gehör, da die Vorinstanz in ihrer Vernehmlassung nur knapp und unsubstantiiert auf die Argumente des Beschwerdeführers in der Beschwerdeschrift eingegangen sei. Auch diese Rüge stösst ins Leere. Der Vorinstanz ist es freigestellt, welchen Umfang und Detaillierungsgrad ihre Vernehmlassung haben soll. Sie ist nicht einmal dazu verpflichtet, überhaupt eine Vernehmlassung einzureichen.</w:t>
      </w:r>
    </w:p>
    <w:p>
      <w:r>
        <w:rPr>
          <w:b/>
        </w:rPr>
        <w:t>E. 2.3</w:t>
      </w:r>
    </w:p>
    <w:p>
      <w:r>
        <w:t>Die Beigeladenen stellen - in ihrer Eingabe beim Bundesverwaltungsgericht vom 16. Juni 2011 (vgl. Sachverhalt Bst. P) - das Gesuch um Einräumung der Parteistellung und Gewährung des rechtlichen Gehörs vor der ESTV. Dazu führen sie aus, dass dies bereits mit Schreiben vom 6. Januar 2011 direkt bei der ESTV beantragt wurde. Ob die Beigeladenen mit diesen Anträgen einen aus dem Gehörsanspruch abgeleiteten Anspruch auf Beiladung durch die ESTV herleiten wollen, und falls ja, ob ein solcher Anspruch überhaupt bestand und/oder besteht, kann im vorliegenden Verfahren offen bleiben, da die Betroffenen vom Bundesverwaltungsgericht beigeladen wurden, sich im vorliegenden Verfahren - insbesondere mit oben erwähnter Eingabe - äussern konnten und eine allfällige Verletzung des rechtlichen Gehörs vor Bundesverwaltungsgericht, das die aufgeworfenen Datenschutzfragen mit voller Kognition überprüft, geheilt werden konnte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Urteil des Bundesverwaltungsgerichts A 4013/2010 vom 15. Juli 2010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BVGE 2010/26 E. 5.1; Urteil des Bundesverwaltungsgerichts A 6053/2010 vom 10. Januar 2011 E. 1.5 [auszugsweise zur Publikation vorgesehen]; kritisch zu dieser "Vorgehensweise" Aurelia Rappo, Le secret bancaire, les droits de la défense et la jurisprudence du Tribunal administratif fédéral dans l'affaire UBS, in: Revue de droit administratif et de droit fiscal, Année 67 [2011], Partie 2, S. 245 ff.).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Das Bundesverwaltungsgericht hielt im genannten Piloturteil insbesondere fest, dass gemäss Staatsvertrag 10 im Amtshilfegesuch der USA keine Namen genannt werden müssen, sondern die Namensnennungen durch die Umschreibung bestimmter Kriterien ersetzt werden (Urteil A-4013/2010 E. 7.2.3 und E. 8.4). Des Weiteren legt der Staatsvertrag 10 verbindlich fest, was als steuerbare Einkünfte zu gelten hat. Dabei handelt es sich um das Bruttoeinkommen (Zinsen und Dividenden) und um Kapitalgewinne (die als 50% der Bruttoverkaufserlöse berechnet werden). Es besteht damit kein Raum für den Nachweis der effektiven Gewinne bzw. Verluste (Urteil A-4013/2010 E. 8.3.3, bestätigt insbesondere im Urteil A-6053/2010 vom 11. Januar 2011 E. 2).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6242/2010 vom 11. Juli 2011 E. 4.1, A 6873/2010 vom 7. März 2011 E. 5, A 4904/2010 vom 11. Januar 2011 E. 4.1, A 4876/2010 vom 11. Oktober 2010 E. 3.1).</w:t>
      </w:r>
    </w:p>
    <w:p>
      <w:r>
        <w:rPr>
          <w:b/>
        </w:rPr>
        <w:t>E. 4.2</w:t>
      </w:r>
    </w:p>
    <w:p>
      <w:r>
        <w:t>Damit stossen folgende Rügen des Beschwerdeführers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für die Ermittlung der Einkünfte sei auf die effektiven Kapitalgewinne und nicht auf die von der ESTV errechneten willkürlichen fiktiven Kapitalgewinne abzustellen; durch die Leistung von Amtshilfe werde das Bundesgesetz vom 20. März 1981 über internationale Rechtshilfe in Strafsachen (Rechtshilfegesetz, IRSG) verletzt resp. umgangen.</w:t>
      </w:r>
    </w:p>
    <w:p>
      <w:r>
        <w:rPr>
          <w:b/>
        </w:rPr>
        <w:t>E. 5.1</w:t>
      </w:r>
    </w:p>
    <w:p>
      <w:r>
        <w:t>Der Beschwerdeführer ist der Ansicht, die Editionsverfügung der ESTV vom 1. September 2009 gegenüber der UBS AG habe sich nicht auf eine genügende gesetzliche Grundlage abgestützt.</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findet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(Urteile des Bundesverwaltungsgerichts A 6242/2010 vom 11. Juli 2011 E. 5.2, A 8462/2010 vom 2. März 2011 E. 3.2). Als nicht stichhaltig erweist sich damit das Argument des Beschwerdeführers, Erhebung und Herausgabe der Daten im Amtshilfeverfahren seien unrechtmässig gewesen.</w:t>
      </w:r>
    </w:p>
    <w:p>
      <w:r>
        <w:rPr>
          <w:b/>
        </w:rPr>
        <w:t>E. 6.1</w:t>
      </w:r>
    </w:p>
    <w:p>
      <w:r>
        <w:t>Der Beschwerdeführer bringt gegen die Anwendbarkeit des Staatsvertrags 10 des Weitern vor, die Schweiz habe den Staatsvertrag erfüllt, da die Prüfung von rund 4'450 UBS-Kundendossiers abgeschlossen sei. Die USA habe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Der Beschwerdeführer stellt in diesem Zusammenhang mehrere Beweisanträge, mit denen festgestellt werden soll, wieviele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der Beschwerdeführer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6242/2010 vom 11. Juli 2011 E. 6.2,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Der Beschwerdeführer macht schliesslich geltend, in den USA würden die wegen Steuerdelikten verurteilten Personen nach dem "Prangerprinzip" im Internet veröffentlicht. Der Beschwerdeführer zieht daraus jedoch keine Schlussfolgerungen. Zudem hat sich das Bundesverwaltungsgericht bereits in früheren Entscheiden mit gleichartigen Vorbringen auseinandergesetzt und dabei kein Hindernis für die Leistung von Amtshilfe gefunden (Urteile des Bundesverwaltungsgerichts A 6242/2010 vom 11. Juli 2011 E. 7, A 6932/2010 vom 27. April 2011 E. 5, A 6705/2010 vom 18. April 2011 E. 5). Auf das Vorbringen ist deshalb nicht weiter einzugehen.</w:t>
      </w:r>
    </w:p>
    <w:p>
      <w:r>
        <w:rPr>
          <w:b/>
        </w:rPr>
        <w:t>E. 8.1</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innerhalb einer beliebigen Dreijahresperiode, welche mindestens ein vom Ersuchen umfasstes Jahr einschliesst, jährliche Durchschnittseinkünfte von mehr als Fr. 100'000.-- erzielt haben. Im Sinn des Staatsvertrags 10 werden für die Berechnung der Durchschnittseinkünfte wie gesagt das Bruttoeinkommen (Zinsen und Dividenden) und die Kapitalgewinne (die als 50 % der Bruttoverkaufserlöse berechnet werden) herangezogen (vgl. E. 4.1. hiervor). Es besteht damit kein Raum für den Nachweis der effektiven Gewinne bzw. Verluste. Was die Anwendung tieferer Sätze als der im Anhang zum Staatsvertrag 10 vorgesehene anbelangt, hat das Bundesverwaltungsgericht schon in E. 8.3.3 des Piloturteils A-4013/2010 vom 15. Juli 2010 festgehalten, dass sich diese zu Gunsten des Beschwerdeführers auswirken, weshalb nicht weiter darauf einzugehen ist. Auch diese Rechtsprechung wurde mehrfach bestätigt (anstatt vieler: Urteil des Bundesverwaltungsgerichts A 6419/2010 vom 30. Juni 2011 E. 5.4) und an ihr ist auch vorliegend festzuhalten.</w:t>
      </w:r>
    </w:p>
    <w:p>
      <w:r>
        <w:rPr>
          <w:b/>
        </w:rPr>
        <w:t>E. 9.1</w:t>
      </w:r>
    </w:p>
    <w:p>
      <w:r>
        <w:t>Die ESTV vertrat in der angefochtenen Schlussverfügung vom 9. August 2010 in Erwägung 5d die Auffassung, betreffend den Beschwerdeführer seien sämtliche Voraussetzungen der Kategorie 2/A/b erfüllt, weshalb Amtshilfe zu leisten sei.</w:t>
      </w:r>
    </w:p>
    <w:p>
      <w:r>
        <w:rPr>
          <w:b/>
        </w:rPr>
        <w:t>E. 9.2</w:t>
      </w:r>
    </w:p>
    <w:p>
      <w:r>
        <w:t>Die vom Beschwerdeführer geltend gemachten Einwände der willkürlichen Definition der Kapitalgewinne sowie der willkürlichen Festsetzung verschiedener Sätze ("Calculation Factors") zur Berechnung der Kapitalgewinne durch die ESTV stossen, wie oben in E. 4.1 und E. 8 aufgezeigt, ins Leere, da der Anhang zum Staatsvertrag 10 festlegt, was als Einkünfte im Sinne des Vertrags zu gelten hat und da die, von der ESTV auslegungsweise ermittelten tieferen Sätze, sich vorliegend einzig zugunsten des Beschwerdeführers auswirken.</w:t>
      </w:r>
    </w:p>
    <w:p>
      <w:r>
        <w:rPr>
          <w:b/>
        </w:rPr>
        <w:t>E. 9.3</w:t>
      </w:r>
    </w:p>
    <w:p>
      <w:r>
        <w:t>Der Beschwerdeführer bringt weiter vor, es handle sich um eine unzulässige Beweislastumkehr, wenn die vom Amtshilfeverfahren betroffene Person belegen müsse, dass sie das Formular W-9 bzw. das FBAR-Formular ordnungsgemäss eingereicht und damit die Meldepflicht erfüllt habe. Dies setzte voraus, dass überhaupt eine Meldepflicht bestanden habe. Für den Nachweis, dass ein W-9 bzw. ein FBAR-Formular hätte eingereicht werden müssen, seien jedoch der IRS bzw. die ESTV beweisbelastet. Der Beschwerdeführer macht zudem insbesondere geltend, er habe auf den Erwerb und das Halten von US-Wertschriften verzichtet und sei demzufolge gar nicht zur Einreichung eines Formulars W-9 verpflichtet gewesen. Bezüglich der Beweislast ist darauf hinzuweisen, dass die ESTV lediglich zu überprüfen und darzulegen hat, ob die im Anhang zum Staatsvertrag 10 geforderten Kriterien vorliegen oder nicht (vgl. E. 3). Die Ausführungen des Beschwerdeführers gehen somit an der einzig massgebenden Frage, ob die Voraussetzungen der Kategorie 2/A/b erfüllt seien, vorbei. Dass der Beschwerdeführer jeweils das Formular W-9 eingereicht hätte, wird jedenfalls weder geltend gemacht noch belegt. Gemäss der einschlägigen Bestimmung im Anhang zum Staatsvertrag 10 besteht somit der begründete Verdacht auf "fortgesetzte und schwere Steuerdelikte", da der Beschwerdeführer nicht belegt, seine steuerlichen Meldepflichten erfüllt zu haben (vgl. Urteile des Bundesverwaltungsgerichts A 6932/2010 vom 27. April 2011 E. 4.4, A 6705/2010 vom 18. April 2011 E. 4.2). Art. 6 und 8 EMRK werden, wie oben in E. 4.1 und 4.2 festgehalten, durch diese im Staatsvertrag 10 festgelegten Voraussetzungen nicht verletzt. Auch nichts zu seinen Gunsten abzuleiten vermag der Beschwerdeführer aus der inhaltlich nicht weiter zu prüfenden Aussage, wonach er jeweils gar kein Formular W-9 habe einreichen müssen, weil er auf das Halten von US-Wertschriften verzichtet habe. Wie die Vorinstanz in ihrer Vernehmlassung zu Recht festhält, sind diese vom Beschwerdeführer angesprochenen weitergehenden Fragen gegebenenfalls in einem allfälligen Verfahren in den USA aufzuwerfen. Ob und gegebenenfalls in welchem Umfang eine Steuerpflicht des Beschwerdeführers bestand, kann nicht Gegenstand dieses Verfahrens bilden. Das Vorliegen der übrigen Voraussetzungen gemäss Kategorie 2/A/b bestreitet der Beschwerdeführer nicht. Es ist somit festzustellen, dass der Beschwerdeführer während des massgeblichen Zeitraums in den USA seinen Wohnsitz hatte ([...]), an der Bankbeziehung mit der Stammnummer [...], die auf seinen Namen lautete, wirtschaftlich berechtigt gewesen ist ([...]) und keine Hinweise vorliegen, dass während des massgeblichen Zeitraums ein Formular W-9 eingereicht worden sei. Der Gesamtwert des streitbetroffenen Kontos hat am [...] die staatsvertragsrelevante Grenze von Fr. 1'000'000.-- überstiegen ([...]) und im Jahr [...] sind Kapitalgewinne von mindestens Fr. [...] erzielt worden ([...]), wodurch die durchschnittlichen Einkünfte im Rahmen von drei aufeinanderfolgenden Jahren höher als Fr. 100'000.-- pro Jahr gewesen sind. Es sind damit in Bezug auf den Beschwerdeführer alle Voraussetzungen für die Gewährung der Amtshilfe, namentlich die Erfüllung der Identifikationskriterien gemäss Ziff. 1 Bst. A des Anhangs zum Staatsvertrag 10 sowie das Vorliegen eines begründeten Verdachts auf "fortgesetzte und schwere Steuerdelikte" (inkl. die hierfür verlangten Kontoeigenschaften) gemäss Ziff. 2 Bst. A/b des Anhangs zum Staatsvertrag 10, erfüllt.</w:t>
      </w:r>
    </w:p>
    <w:p>
      <w:r>
        <w:rPr>
          <w:b/>
        </w:rPr>
        <w:t>E. 10.1</w:t>
      </w:r>
    </w:p>
    <w:p>
      <w:r>
        <w:t>Der Beschwerdeführer sowie die beigeladenen Drittpersonen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weil im Bereich des Staatsvertrags 10 je nachdem, ob die Kriterien des Anhangs erfüllt seien, sich die Rechtsgrundlage für eine Datenübermittlung ändere. Es sei nicht entscheidend, ob die zu übermittelnden Informationen für den IRS potentiell erheblich seien, sondern einzig, ob die Personen, deren Daten übermittelt werden sollten, unter eine Kategorie des Anhangs zum Staatsvertrag 10 fallen würden. Der Beschwerdeführer und die Beigeladenen rügen eine Verletzung des Datenschutzgesetzes. Diese Frage ist im Rahmen des vorliegenden Amtshilfeverfahrens zu prüfen und daher ist der Antrag, es sei in einem separat anfechtbaren Teilentscheid über diese datenschutzrechtliche Vorfrage der Behandlung der unter dem UBS-Amtshilfeabkommen unbeteiligten Drittpersonen zu entscheiden und vorab der EDÖB zu konsultieren, abzuweisen.</w:t>
      </w:r>
    </w:p>
    <w:p>
      <w:r>
        <w:rPr>
          <w:b/>
        </w:rPr>
        <w:t>E. 10.2</w:t>
      </w:r>
    </w:p>
    <w:p>
      <w:r>
        <w:t>Das Bundesgesetz vom 19. Juni 1992 über den Datenschutz (DSG, SR 235.1) gilt generell für das Bearbeiten von Daten natürlicher und juristischer Personen durch Bundesorgane (Art. 2 Abs. 1 Bst. b DSG), zu denen auch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 (vgl. dazu auch Urteil des Bundesverwaltungsgerichts A-6242/2010 vom 11. Juli 2011 E. 10.2).</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 (vgl. ebenso Urteil des Bundesverwaltungsgerichts A-6242/2010 vom 11. Juli 2011 E. 10).</w:t>
      </w:r>
    </w:p>
    <w:p>
      <w:r>
        <w:rPr>
          <w:b/>
        </w:rPr>
        <w:t>E. 11.1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6242/2010 vom 11. Juli 2010 E. 11.1,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6242/2010 vom 11. Juli 2010 E. 11.1,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(Urteile des Bundes­verwaltungsgerichts A 6242/2010 vom 11. Juli 2010 E. 11.2, A 6705/2010 vom 18. April 2011 E. 6.2.2, A 6176/2010 vom 18. Januar 2011 E. 2.4.1 f.; BVGE 2010/40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Urteile des Bundesverwaltungsgerichts A 6242/2010 vom 11. Juli 2011 E. 11.4, A 6932/2010 vom 27. April 2011 E. 5.2, A 6176/2010 vom 18. Januar 2011 E. 2.5).</w:t>
      </w:r>
    </w:p>
    <w:p>
      <w:r>
        <w:rPr>
          <w:b/>
        </w:rPr>
        <w:t>E. 12.1</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6242/2010 vom 11. Juli 2010 E. 12.1, A 6684/2010 vom 4. Juli 2011 E. 2.5, A 6638/2010 vom 9. Mai 2011 E. 6.4, A 6933/2010 vom 17. März 2011 E. 10.3).</w:t>
      </w:r>
    </w:p>
    <w:p>
      <w:r>
        <w:rPr>
          <w:b/>
        </w:rPr>
        <w:t>E. 12.2</w:t>
      </w:r>
    </w:p>
    <w:p>
      <w:r>
        <w:t>Wie soeben ausgeführt, ist gemäss Rechtsprechung einem Antrag auf Anonymisierung von Namen und Angaben von Dritten nur dann stattzugeben, wenn unbeteiligte Dritte betroffen sind. Als solche sind nur anzusehen, wer mit dem in das Verfahren einbezogenen Konto in keiner Weise verbunden zu sein scheint. Folglich kann gerade nicht als unbeteiligter Dritter angesehen werden, wer für das Konto zeichnungsberechtigt ist bzw. war und/oder Vergütungen davon erhalten hat (vgl. Urteile des Bundesverwaltungsgerichts A 6684/2010 vom 4. Juli 2010 E. 4.2.1, A 6705/2010 vom 18. April 2011 E. 6.4, A 6302/2010 vom 28. März 2011 E. 9.3). In einem solchen Fall ist es denn auch unbeachtlich, ob es sich bei den Dritten um Familienangehörige oder um sogenannte "Drittbanken" handelt, deren Konten nicht unter Art. 1 Ziff.1 des Staatsvertrags 10 fallen.</w:t>
      </w:r>
    </w:p>
    <w:p>
      <w:r>
        <w:rPr>
          <w:b/>
        </w:rPr>
        <w:t>E. 12.3</w:t>
      </w:r>
    </w:p>
    <w:p>
      <w:r>
        <w:t>Wird die Anonymisierung von an sich vom Amtshilfeverfahren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(Urteile des Bundesverwaltungsgerichts A-6932/2010 vom 27. April 2011 E. 6.3, A-6933/2010 vom 17. März 2011 E. 10.5 mit weiteren Hinweisen). Es ist daher im Folgenden nur auf die vom Beschwerdeführer und/oder von den Beigeladenen einzeln genannten Unterlagen einzugehen, denn der pauschale Antrag auf Löschung sämtlicher Angaben über Dritte, erweist sich schon aus prozessualen Gründen als unzureichend.</w:t>
      </w:r>
    </w:p>
    <w:p>
      <w:r>
        <w:rPr>
          <w:b/>
        </w:rPr>
        <w:t>E. 12.4</w:t>
      </w:r>
    </w:p>
    <w:p>
      <w:r>
        <w:t>Die vom Beschwerdeführer und - durch Verweis auf die Eingabe des Beschwerdeführers - von den Beigeladenen genannten Dokumente ([...]) enthalten Namen und Angaben zu den Beigeladenen und zu Dritten, insbesondere zu gewissen Konten bei "Drittbanken", welche gemäss Antrag, vor der Leistung der Amtshilfe zu anonymisieren seien. Bei den Dokumenten handelt es sich einerseits um Zahlungsaufträge (Beschwerdebeilage [...] bis [...]), die alle das Konto des Beschwerdeführers betreffen. Entgegen der Meinung des Beschwerdeführers und der Beigeladenen ist grundsätzlich nicht einzusehen, weshalb unbeteiligte Dritte vorhanden sein sollen. Zum einen stammen die in Frage stehenden Namen und Angaben nicht von mit dem Konto in keiner Weise verbundenen Dritten, und zum anderen beziehen sie sich direkt und unmittelbar auf das in Frage stehende Konto, womit ein offenkundiger Zusammenhang mit dem zum Amtshilfegesuch führenden Verfahren in den USA besteht. Das Bundesverwaltungsgericht hat in vergleichbaren Konstellationen wie der vorliegenden denn auch festgehalten, dass unter diesen Umständen Gesuchen um Anonymisierung nicht stattgegeben werden könne (Urteile des Bundesverwaltungsgerichts A 6684/2010 vom 4. Juli 2011 E. 4.2.2, A 6302/2010 vom 28. März 2011 E. 9.3). Alle die auf den Zahlungsaufträgen genannten Drittpersonen (einschliesslich der Beigeladenen als [...] des UBS-Kontos des Beschwerdeführers) und "Drittbanken" sind damit keine unbeteiligten Dritten und aufgrund des engen sachlichen Zusammenhangs zum streitbetroffenen UBS-Konto sind diese Unterlagen ungeschwärzt dem IRS zu edieren. Dies bedeutet andererseits jedoch nicht, dass nicht auch bei "nicht-unbeteiligten Dritten" eine Schwärzung gewisser Informationen geboten sein kann. Sobald nämlich ein ganzes Dokument oder eine spezifische Information in keiner Weise eine Verbindung mit dem in das Verfahren einbezogenen Konto aufweist, darf dieses Dokument bzw. diese Information nicht an den IRS herausgegeben werden. In diesem Sinne hat denn auch bereits die Vorinstanz in ihrer Schlussverfügung entschieden, in gewissen internen Dokumenten die Verweise auf [...] zu schwärzen. Gleiches muss für die Dokumente [...] und [...] gelten. Bei diesen handelt es sich um interne Dokumente, welche Informationen über das Konto des Beschwerdeführers enthalten. Unter anderem wurde darin festgehalten, dass die Beigeladenen [...] des Kontos des Beschwerdeführers sind. Insofern ist ein Zusammenhang mit dem streitbetroffenen Konto unbestrittenermassen noch gegeben. In der Rubrik "Bemerkungen" steht jedoch in beiden Dokumenten, dass [...] (gemeint ist [...]) [Zitat der Bemerkung] ([...]). Diese Information wurde von den Kundenberatern wohl ausschliesslich als interne Notiz hinzugefügt, ein sachlicher Grund für einen solchen Vermerk ist jedenfalls nicht zu erkennen. Obwohl [...] - wie oben festgehalten - nicht als unbeteiligter Dritte gelten kann, sind solche Informationen betreffend [...] nicht an den IRS zu edieren. Insoweit sind die Anträge des Beschwerdeführers und der Beigeladenen auf Schwärzung gutzuheissen, alle anderen jedoch abzuweisen. Das pauschale Argument des Beschwerdeführers, es sei widersprüchlich, dass die Vorinstanz die Hinweise auf die Beigeladenen nur in gewissen - anstatt durchgehend in allen - Dokumenten geschwärzt habe, stösst nach dem Gesagten ins Leere, da nämlich für jedes Dokument einzeln geprüft werden muss, ob eine sachlicher Zusammenhang zum streitbetroffenen UBS-Konto besteht und eine Herausgabe der Informationen an den IRS somit verhältnismässig ist. Schliesslich enthält die Schlussverfügung der ESTV vom 9. August 2010 eine Verwendungsbeschränkung, wie es sowohl das Datenschutzgesetz als auch das Amtshilferecht verlangt. Demgemäss dürfen die im Amtshilfeverfahren erlangten Unterlagen von den US-amerikanischen Behörden nur in einem allfälligen Verfahren gegen den Beschwerdeführer verwendet werden. Damit ist Art. 6 Abs. 2 Bst. a DSG ebenfalls Genüge getan.</w:t>
      </w:r>
    </w:p>
    <w:p>
      <w:r>
        <w:rPr>
          <w:b/>
        </w:rPr>
        <w:t>E. 13</w:t>
      </w:r>
    </w:p>
    <w:p>
      <w:r>
        <w:t>Demnach ist die Beschwerde teilweise gutzuheissen. Die in der Ziffer [...] der Beschwerdeschrift zitierten Passagen ("[...]") sind in beiden Dokumenten ([...] und [...]) zu schwärzen. Im Übrigen ist die Beschwerde abzuweisen.</w:t>
      </w:r>
    </w:p>
    <w:p>
      <w:r>
        <w:rPr>
          <w:b/>
        </w:rPr>
        <w:t>E. 14</w:t>
      </w:r>
    </w:p>
    <w:p>
      <w:r>
        <w:t>Ausgangsgemäss hat der weitgehend unterliegende Beschwerdeführer die Verfahrenskosten in entsprechendem Umfang zu tragen (Art. 63 Abs. 1 VwVG). Diese sind auf insgesamt Fr. 22'000.-- festzulegen (vgl. Art. 2 Abs. 1 i.V.m. Art. 4 des Reglements vom 21. Februar 2008 über die Kosten und Entschädigungen vor dem Bundesverwaltungsgericht [VGKE, SR 173.320.2]) und dem Beschwerdeführer im Umfang von Fr. 21'000.-- aufzuerlegen. Mit Zwischenverfügung vom 25. Februar 2011 wurden dem Beschwerdeführer Verfahrenskosten von Fr. 2'000.-- auferlegt und im entsprechenden Umfang mit dem geleisteten Kostenvorschuss verrechnet. Der Beschwerdeführer wurde in derselben Verfügung aufgefordert, einen weiteren Kostenvorschuss von Fr. 2'000.-- zu leisten. Die verbleibenden Verfahrenskosten von Fr. 19'000.-- sind demnach im entsprechenden Umfang mit dem restlichen Kostenvorschuss von ebenfalls Fr. 20'000.-- zu verrechnen. Der Überschuss von Fr. 1'000.-- ist dem Beschwerdeführer zurückzuerstatten. Unter diesen Umständen ist dem Beschwerdeführer eine reduzierte Parteientschädigung zuzusprechen (vgl. Art. 64 Abs. 1 VwVG und Art. 7 Abs. 1 und 2 VGKE). Den Beigeladenen sind keine Parteientschädigungen zuzusprechen.</w:t>
      </w:r>
    </w:p>
    <w:p>
      <w:r>
        <w:rPr>
          <w:b/>
        </w:rPr>
        <w:t>E. 15</w:t>
      </w:r>
    </w:p>
    <w:p>
      <w:r>
        <w:t>Dieser Entscheid kann nicht mit Beschwerde in öffentlich-rechtlichen Angelegenheiten an das Bundesgericht weitergezogen werden (Art. 83 Bst. h BGG; [anstatt vieler] Urteile des Bundesgerichts 1C_124/2011 vom 11. Mai 2011 E. 1.2, 1C_573/2010 vom 7. Januar 2011 E. 2). Der Antrag des Beschwerdeführers,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