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A-6753/2016 vom 1. Februar 2018</w:t>
      </w:r>
    </w:p>
    <w:p>
      <w:r>
        <w:t>Bundesverwaltungsgericht, 2018-02-01, DE</w:t>
      </w:r>
    </w:p>
    <w:p>
      <w:r>
        <w:rPr>
          <w:b/>
        </w:rPr>
        <w:t xml:space="preserve">Quelle: </w:t>
      </w:r>
      <w:r>
        <w:t>https://mcp.opencaselaw.ch/entscheid/bvger_A-6753_2016</w:t>
      </w:r>
    </w:p>
    <w:p>
      <w:r>
        <w:t>FR: TAF A-6753/2016 du 1 février 2018</w:t>
      </w:r>
    </w:p>
    <w:p>
      <w:r>
        <w:t>IT: TAF A-6753/2016 del 1 febbraio 2018</w:t>
      </w:r>
    </w:p>
    <w:p>
      <w:pPr>
        <w:pStyle w:val="Heading2"/>
      </w:pPr>
      <w:r>
        <w:t>Regeste</w:t>
      </w:r>
    </w:p>
    <w:p>
      <w:r>
        <w:t>Elektrische Anlagen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und stammt von einer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Verlangt ist somit nebst der formellen Beschwer - deren Notwendigkeit sich im vorliegenden Zusammenhang auch aus dem Einspracheerfordernis von Art. 16f Abs. 1 des Elektrizitätsgesetzes vom 24. Juni 1902 (EleG, SR 734.0) ergibt -, dass die beschwerdeführende Person eine besondere Beziehungsnähe zur Streitsache hat und einen praktischen Nutzen aus der Aufhebung oder Abänderung der angefochtenen Verfügung zu ziehen vermag. Bei Bauten und Anlagen muss die Beziehungsnähe insbesondere in räumlicher Hinsicht gegeben sein (vgl. BGE 137 II 30 E. 2.2.2). Nach der Rechtsprechung ist jedoch nicht schematisch auf einzelne Kriterien abzustellen, sondern sind nebst quantitativen Kriterien insbesondere auch solche qualitativer Natur zu berücksichtigen (vgl. Urteil des BGer 1C_204/2012 vom 25. April 2013 E. 4); erforderlich ist eine Gesamtwürdigung der konkreten Verhältnisse (vgl. Urteil des BGer 1C_559/2015 vom 22. Dezember 2015 E. 3.1). Die Beschwerdeführerinnen nahmen am vorinstanzlichen Verfahren teil, setzten sich mit ihren Einsprachen (vgl. Bst. B.c [gemeinsame Einsprache der Beschwerdeführerinnen], Bst. A [Einsprache der Beschwerdeführerin 1]) jedoch nicht durch. Als Gesamteigentümerinnen einer Liegenschaft in unmittelbarer Nähe der geplanten Trafostation und als durch die Emissionen der projektbedingten Bauarbeiten Betroffene weisen sie die erforderliche besondere Beziehungsnähe zur Streitsache auf, zudem vermöchten sie aus der beantragten Aufhebung der angefochtenen Verfügung einen praktischen Nutzen zu ziehen. Sie sind somit formell und materiell beschwert und damit zur Beschwerde befugt.</w:t>
      </w:r>
    </w:p>
    <w:p>
      <w:r>
        <w:rPr>
          <w:b/>
        </w:rPr>
        <w:t>E. 1.3</w:t>
      </w:r>
    </w:p>
    <w:p>
      <w:r>
        <w:t>Die Beschwerde wurde ausserdem frist- und formgerecht eingereicht (vgl. Art. 50 Abs. 1 und 52 Abs. 1 VwVG), weshalb grundsätzlich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beachtet im Weiteren den Grundsatz der Rechtsanwendung von Amtes wegen. Es ist entsprechend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Prozessieren vor dem Bundesverwaltungsgericht, 2. Aufl. 2013, Rz. 1.54).</w:t>
      </w:r>
    </w:p>
    <w:p>
      <w:r>
        <w:rPr>
          <w:b/>
        </w:rPr>
        <w:t>E. 3.1</w:t>
      </w:r>
    </w:p>
    <w:p>
      <w:r>
        <w:t>Wer Starkstromanlagen erstellen oder ändern will, benötigt eine Plangenehmigung (vgl. Art. 16 Abs. 1 EleG). Für Hochspannungsanlagen - wie die hier streitbetroffenen - gilt dies generell, für Niederspannungsanlagen nur in bestimmten Fällen (vgl. Art. 1 Abs. 1 Bst. a und Abs. 2 der Verordnung über das Plangenehmigungsverfahren für elektrische Anlagen [VPeA, SR 734.25]; zu den Begriffen vgl. Art. 3 Ziff. 13 und 21 der Starkstromverordnung vom 30. März 1994 [SR 734.2]). Genehmigungsbehörde ist grundsätzlich das ESTI (vgl. Art. 16 Abs. 2 Bst. a EleG). Kann dieses Einsprachen gegen ein Projekt nicht erledigen oder Differenzen mit den beteiligten Bundesbehörden nicht ausräumen, entscheidet das BFE (vgl. Art. 16 Abs. 2 Bst. b EleG). Das ESTI überweist ihm zu diesem Zweck die Unterlagen mit einem Bericht über den Stand des Verfahrens (vgl. Art. 6 Abs. 1 VPeA). Es kann auf die Durchführung von Einspracheverhandlungen verzichten, wenn eine Vermittlung zwischen den Parteien aussichtslos erscheint (vgl. Art. 5 Abs. 3 VPeA).</w:t>
      </w:r>
    </w:p>
    <w:p>
      <w:r>
        <w:rPr>
          <w:b/>
        </w:rPr>
        <w:t>E. 3.2</w:t>
      </w:r>
    </w:p>
    <w:p>
      <w:r>
        <w:t>Mit der Plangenehmigung werden sämtliche nach Bundesrecht erforderlichen Bewilligungen erteilt (vgl. Art. 16 Abs. 3 EleG). Die entscheidende Behörde (Leitbehörde) holt vor ihrem Entscheid die Stellungnahmen der betroffenen Fachbehörden ein (vgl. Art. 62a Abs. 1 des Regierungs- und Verwaltungsorganisationsgesetzes vom 21. März 1997 [RVOG, SR 172.010]). Ausnahmsweise kann sie in Fällen, für die eine entsprechende Vereinbarung mit den betroffenen Fachbehörden besteht, darauf verzichten (vgl. Art. 62a Abs. 4 RVOG). Kantonale Bewilligungen und Pläne sind nicht erforderlich. Das kantonale Recht ist aber zu berücksichtigen, soweit es die Betreiberin von Starkstromanlagen in der Erfüllung ihrer Aufgaben nicht unverhältnismässig einschränkt (vgl. Art. 16 Abs. 4 EleG).</w:t>
      </w:r>
    </w:p>
    <w:p>
      <w:r>
        <w:rPr>
          <w:b/>
        </w:rPr>
        <w:t>E. 3.3</w:t>
      </w:r>
    </w:p>
    <w:p>
      <w:r>
        <w:t>Die Plangenehmigung setzt eine umfassende Interessenabwägung durch die Genehmigungsbehörde voraus (vgl. dazu ausführlich BVGE 2016/35 E. 3.3; Art. 7 Abs. 1 Starkstromverordnung; Art. 11 Abs. 1 der Leitungsverordnung vom 30. März 1994 [LeV, SR 734.31]). Diese hat die im konkreten Fall relevanten und rechtlich anerkannten Interessen zu ermitteln, zu beurteilen und so zu optimieren, dass sie in Berücksichtigung ihrer Beurteilung möglichst umfassend zur Geltung kommen (vgl. zum Ganzen BVGE 2016/35 E. 3.4 m.w.H.; Tschannen/Zimmerli/Müller, Allgemeines Verwaltungsrecht, 4. Aufl. 2014, § 26 Rz. 37). Regelt das Verfassungs- und Gesetzesrecht einzelne Aspekte der Interessenabwägung konkret, hat sie vorweg zu klären, ob das Vorhaben mit diesen Vorschriften vereinbar ist. Erst wenn dies zutrifft und das anwendbare Recht Entscheidungsspielräume belässt, hat sie die Abwägung aller zu berücksichtigenden Interessen koordiniert durchzuführen (vgl. BGE 134 II 97 E. 3.1; Urteil des BGer 1C_39/2017 vom 13. November 2017 E. 4.1 m.w.H.; BVGE 2016/35 E. 3.4).</w:t>
      </w:r>
    </w:p>
    <w:p>
      <w:r>
        <w:rPr>
          <w:b/>
        </w:rPr>
        <w:t>E. 3.4</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(vgl. zum Ganzen BGE 139 II 499 E. 7.3.1; Urteil des Bundesgerichts 1C_560/2010 vom 14. Juli 2011 E. 7; Urteil des BVGer A-7748/2015 vom 29. November 2017 E. 4.2.1; A-5641/2016 vom 18. Mai 2017 E.5.2; A-6015/2015 vom 10. Januar 2017 E. 11.2). Die Genehmigungsbehörde ist im Weiteren nicht verpflichtet, von sich aus alle denkbaren, ausserhalb des üblichen Rahmens liegenden Varianten zu prüfen; vielmehr ist es Sache der Betroffenen, im Einspracheverfahren Alternativvorschläge möglichst genau und umfassend vorzubringen. Für die Genehmigungsbehörde gilt jedoch grundsätzlich der Untersuchungsgrundsatz (vgl. Art. 12 VwVG). Es ist daher in jedem Fall zu prüfen, ob sie verpflichtet gewesen wäre, andere Varianten (näher) in Betracht zu ziehen (vgl. zum Ganzen Urteil des BGer 1C_137/2009 vom 7. September 2009 E. 1; Urteil des BVGer A-5870/2014 vom 22. Februar 2016 E. 1.3.4; A-2332/2014 vom 18. Januar 2016 E. 1.3.1).</w:t>
      </w:r>
    </w:p>
    <w:p>
      <w:r>
        <w:rPr>
          <w:b/>
        </w:rPr>
        <w:t>E. 4</w:t>
      </w:r>
    </w:p>
    <w:p>
      <w:r>
        <w:t>Wie dargelegt (vgl. Bst. A), erachtete das ESTI vorliegend eine Vermittlung zwischen den Parteien als aussichtslos, was von keiner Seite in Frage gestellt wird. Es konnte deshalb nach Art. 5 Abs. 3 VPeA auf die Durchführung einer Einspracheverhandlung verzichten und gestützt auf Art. 6 Abs. 1 VPeA die Gesuchsunterlagen mit einem Bericht über den Stand des Verfahrens der Vorinstanz überweisen. Diese war somit nach Art. 16 Abs. 2 Bst. b EleG für den Erlass der angefochtenen Plangenehmigungsverfügung zuständig. Sie konnte weiter gestützt auf Vereinbarungen im Sinne von Art. 62a Abs. 4 RVOG auf die Anhörung des Bundesamts für Umwelt BAFU und des Bundesamts für Raumentwicklung ARE als vom strittigen Bauprojekt betroffene Fachbehörden verzichten. Auch sonst ist nicht ersichtlich, dass die angefochtene Verfügung an einem formellen Mangel litte. Die Beschwerdeführerinnen machen solches im vorliegenden Beschwerdeverfahren denn auch nicht geltend. Näher zu prüfen ist nachfolgend somit einzig, ob die Verfügung - wie die Beschwerdeführerinnen vorbringen - in materieller Hinsicht mangelhaft und aus diesem Grund aufzuheben ist.</w:t>
      </w:r>
    </w:p>
    <w:p>
      <w:r>
        <w:rPr>
          <w:b/>
        </w:rPr>
        <w:t>E. 5</w:t>
      </w:r>
    </w:p>
    <w:p>
      <w:r>
        <w:t>Die Beschwerdeführerinnen machen in diesem Zusammenhang insbesondere geltend, es sei keine genügende Evaluation von Alternativstandorten erfolgt (vgl. Bst. D und G). Diese Rüge wird sowohl von der Beschwerdegegnerin (vgl. Bst. E und H) als auch der Vorinstanz (vgl. Bst. F und I) zurückgewiesen. Beide bringen im Wesentlichen vor, es seien in rechtsgenüglicher Weise diverse Alternativstandorte evaluiert und zu Recht als im Vergleich zum projektierten Standort nachteilig beurteilt worden.</w:t>
      </w:r>
    </w:p>
    <w:p>
      <w:r>
        <w:rPr>
          <w:b/>
        </w:rPr>
        <w:t>E. 5.1</w:t>
      </w:r>
    </w:p>
    <w:p>
      <w:r>
        <w:t>Aus den Unterlagen des Plangenehmigungsverfahrens geht hervor, dass die Beschwerdegegnerin - jedenfalls gemäss dem Schreiben ihres Rechtsvertreters vom 13. Januar 2014 - nebst dem strittigen projektierten Standort insgesamt vier weitere Standorte für die Trafostation in Betracht zog, darunter den gegenwärtigen Standort. Der Prüfung der Alternativstandorte legte sie die Situation zugrunde, die nach dem seinerzeitigen Projekt zur Erstellung einer Dreifachsporthalle auf dem Areal südlich des Schulhauses "Dorf" geplant war. Zwei der geprüften Alternativstandorte befanden sich dabei auf bzw. in nach diesem Projekt vorgesehenen Bauten (Standort 3: Trafostation auf der südwestlich der Sporthalle vorgesehenen Holzschnitzelheizung; Standort 4: Trafostation in der östlich der Sporthalle vorgesehenen Einstellhalle).</w:t>
      </w:r>
    </w:p>
    <w:p>
      <w:r>
        <w:rPr>
          <w:b/>
        </w:rPr>
        <w:t>E. 5.2</w:t>
      </w:r>
    </w:p>
    <w:p>
      <w:r>
        <w:t>Das der Prüfung der Alternativstandorte zugrunde gelegte Sporthallenprojekt - mit dem die Beschwerdegegnerin anfänglich das vorliegend strittige Bauvorhaben begründete - kam in der Folge allerdings nicht zustande. Vielmehr verfügte die Bau-, Verkehrs- und Energiedirektion des Kantons Bern mit Entscheid vom 2. April 2014 den Bauabschlag, nachdem namentlich die kantonale Kommission zur Pflege der Orts- und Landschaftsbilder (OLK) grundsätzliche Vorbehalte gegenüber der Gestaltung der Sporthalle angemeldet hatte (vgl. https://www.lengnau.ch/de/aktuelles/projekte.php). Die Beschwerdegegnerin gab darauf die Überarbeitung des Projekts in Auftrag, was zur Ausarbeitung eines neuen Projekts führte. Wie aus der Abstimmungsbotschaft zu diesem Projekt hervorgeht (vgl. https://lengnau.ch/media/docs/sporthalle/Sporthalle_neu/Botschaft_Erweiterung_der_Schul-_und_Sportanlagen_Dorf.pdf), unterscheidet sich dieses deutlich vom ursprünglichen Projekt. So ist etwa die Sporthalle neu entlang der Küpfgasse positioniert und erweitert die bestehende Schulanlage zu einem Campus. Die Einstellhalle liegt zudem neu westlich der Sporthalle, die Holzschnitzelheizung entfällt. Das geänderte Projekt wurde von den Stimmberechtigten der Beschwerdegegnerin in der Urnenabstimmung vom 27. November 2016 mit deutlichem Mehr angenommen (vgl. https://lengnau.ch/media/docs/aktuelle-meldungen/Protokoll_Gemeindeurnenabstimmung_Erweiterung_Schul-_und_Sportanlagen_Dorf_27_11_2016.pdf). Gegen das Projekt gingen allerdings mehrere Einsprachen ein (vgl. https://www.lengnau.ch/de/aktuelles/meldungen/Meldung-2017-04.php), über die bislang, soweit ersichtlich, noch nicht rechtskräftig entschieden wurde.</w:t>
      </w:r>
    </w:p>
    <w:p>
      <w:r>
        <w:rPr>
          <w:b/>
        </w:rPr>
        <w:t>E. 5.3</w:t>
      </w:r>
    </w:p>
    <w:p>
      <w:r>
        <w:t>Als Folge der Änderungen gegenüber dem ursprünglichen Sporthallenprojekt fallen die in die erwähnte Variantenprüfung der Beschwerdegegnerin einbezogenen Alternativstandorte 3 (Trafostation auf der Holzschnitzelheizung) und 4 (Trafostation in der Einstellhalle östlich der Sporthalle) von vornherein ausser Betracht, sind die entsprechenden Bauten doch, wie erwähnt, im aktuellen Sporthallenprojekt nicht mehr vorgesehen. Die beiden weiteren einbezogenen Alternativstandorte - Standort 2 (Küpfgasse) und Standort 5 (gegenwärtiger Standort) - kommen zwar grundsätzlich weiterhin in Frage, wurden in der Variantenprüfung jedoch wegen deren Bezug auf das ursprüngliche Sporthallenprojekt nicht mit Blick auf die nach dem aktuellen Sporthallenprojekt vorgesehene Situation evaluiert. Die Variantenprüfung der Beschwerdegegnerin erweist sich entsprechend hinsichtlich der Alternativstandorte 3 und 4 als obsolet und hinsichtlich der Alternativstandorte 2 und 5 als zumindest teilweise überholt.</w:t>
      </w:r>
    </w:p>
    <w:p>
      <w:r>
        <w:rPr>
          <w:b/>
        </w:rPr>
        <w:t>E. 5.4</w:t>
      </w:r>
    </w:p>
    <w:p>
      <w:r>
        <w:t>Obschon der Vorinstanz mit der Variantenprüfung der Beschwerdegegnerin somit lediglich eine auf das ursprüngliche Sporthallenprojekt bezogene Variantenprüfung vorlag, die dem aktuellen Sporthallenprojekt keine Rechnung trägt und teilweise obsolet bzw. überholt ist, gab sie sich im Wesentlichen, d.h. vorbehältlich ihrer Ausführungen zu den von einzelnen Einsprechenden vorgeschlagenen Alternativstandorten nördlich des Schulhauses "Dorf", mit dieser Prüfung zufrieden. Weder forderte sie die Beschwerdegegnerin auf, eine aktualisierte Variantenprüfung nachzureichen, die dem Scheitern des ursprünglichen Projekts - das ihr bekannt war - und dem seither erreichten Planungsstand Rechnung trägt, noch nahm sie selbst eine entsprechende Variantenprüfung vor. Als Folge davon basiert der angefochtene Plangenehmigungsentscheid im Wesentlichen auf einer Variantenprüfung, die wegen ihres Bezugs auf eine Situation, die nicht mit der aktuell projektierten - und auch nicht mit der gegenwärtig bestehenden - übereinstimmt, sowohl unvollständig als auch unrichtig ist. Aus ihr geht entsprechend auch unzureichend hervor, welche Alternativstandorte gemäss der aktuell projektierten - wie auch gemäss der gegenwärtig bestehenden - Situation in Frage kämen und aus welchen Gründen der strittige projektierte Standort diesen Alternativstandorten vorzuziehen ist. Eine solche Variantenprüfung genügt den dargelegten Anforderungen an die Prüfung eines Plangenehmigungsgesuchs nicht (vgl. E. 3.4). Vielmehr hätte die Vorinstanz nach dem für sie geltenden Untersuchungsgrundsatz von der Beschwerdegegnerin eine aktualisierte Variantenprüfung einholen und beurteilen oder selber eine solche Prüfung vornehmen und ihren Entscheid auf dieser aktualisierten Grundlage treffen müssen. Die angefochtene Plangenehmigungsverfügung erweist sich insoweit demnach als fehlerhaft, weshalb sie bereits aus diesem Grund und ohne dass auf die weiteren Rügen der Beschwerdeführerinnen eingegangen zu werden braucht aufzuheben ist.</w:t>
      </w:r>
    </w:p>
    <w:p>
      <w:r>
        <w:rPr>
          <w:b/>
        </w:rPr>
        <w:t>E. 6</w:t>
      </w:r>
    </w:p>
    <w:p>
      <w:r>
        <w:t>Das Bundesverwaltungsgericht entscheidet in der Regel in der Sache selbst und weist diese nur ausnahmsweise mit verbindlichen Weisungen an die Vorinstanz zurück (vgl. Art. 61 Abs. 1 VwVG). Eine Zurückweisung kommt namentlich in Frage, wenn die Vorinstanz den Sachverhalt mangelhaft abgeklärt hat und sich das Versäumte nicht ohne aufwändigere Beweiserhebung nachholen lässt (vgl. BVGE 2012/21 E. 5.1; 2009/10 E. 7.1; Urteil des BVGer A-5990/2014 vom 8. Juni 2015 E. 6.1; Moser/Beusch/Kneubühler, a.a.O., Rz. 3.193 ff.). Ein solcher Fall liegt hier vor, ist doch die von der Vorinstanz unterlassene aktualisierte Variantenprüfung nachzuholen, was aufwändigere Abklärungen erforderlich macht. Die Sache ist folglich an die Vorinstanz zurückzuweisen. Diese hat von der Beschwerdegegnerin eine aktualisierte Variantenprüfung einzuholen und zu beurteilen oder selber eine solche Prüfung vorzunehmen und auf dieser aktualisierten Grundlage erneut über das Plangenehmigungsgesuch der Beschwerdegegnerin zu entscheiden.</w:t>
      </w:r>
    </w:p>
    <w:p>
      <w:r>
        <w:rPr>
          <w:b/>
        </w:rPr>
        <w:t>E. 7.1</w:t>
      </w:r>
    </w:p>
    <w:p>
      <w:r>
        <w:t>Die Kosten des Verfahrens vor dem Bundesverwaltungsgericht werden in der Regel der unterliegenden Partei auferlegt (vgl. Art. 63 Abs.1 VwVG). Vorinstanzen oder beschwerdeführenden und unterliegenden Bundesbehörden werden keine Verfahrenskosten auferlegt; anderen als Bundesbehörden, die Beschwerde führen und unterliegen, werden Verfahrenskosten auferlegt, soweit sich der Streit um vermögensrechtliche Interessen von Körperschaften oder autonomen Anstalten dreht (vgl. Art. 63 Abs. 2 VwVG).</w:t>
      </w:r>
    </w:p>
    <w:p>
      <w:r>
        <w:rPr>
          <w:b/>
        </w:rPr>
        <w:t>E. 7.2</w:t>
      </w:r>
    </w:p>
    <w:p>
      <w:r>
        <w:t>Die Rückweisung der Sache an die Vorinstanz zu weiteren Abklärungen und neuem Entscheid (mit noch offenem Ausgang) - wie im vorliegenden Fall - gilt in der Verwaltungsrechtspflege des Bundes praxisgemäss als volles Obsiegen der beschwerdeführenden Partei (vgl. BGE 137 V 210 E. 7.1; Urteil des BGer 9C_662/2016 vom 15. März 2017 E. 7; Urteil des BVGer A-2143/2016 vom 6. Dezember 2016 E. 7.1). Die Beschwerdeführerinnen gelten demnach als obsiegend. Die unterliegende Beschwerdegegnerin hat keine Kosten zu tragen, dreht sich der Streit doch nicht um ihre vermögensrechtlichen Interessen. Die Vorinstanz hat als Bundesbehörde ebenfalls keine Kosten zu tragen. Es sind demnach keine Verfahrenskosten zu erheben. Der Kostenvorschuss ist den Beschwerdeführerinnen nach Eintritt der Rechtskraft dieses Urteils zurückzuerstatten.</w:t>
      </w:r>
    </w:p>
    <w:p>
      <w:r>
        <w:rPr>
          <w:b/>
        </w:rPr>
        <w:t>E. 8.1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w:t>
      </w:r>
    </w:p>
    <w:p>
      <w:r>
        <w:rPr>
          <w:b/>
        </w:rPr>
        <w:t>E. 8.2</w:t>
      </w:r>
    </w:p>
    <w:p>
      <w:r>
        <w:t>Der Rechtsvertreter der obsiegenden Beschwerdeführerinnen reichte dem Bundesverwaltungsgericht mit Eingabe vom 31. März 2017 eine Kostennote ein, in der er seinen Zeitaufwand pauschal mit 18 ½ Stunden angibt. Mangels einer detaillierten Aufschlüsselung kann nicht beurteilt werden, ob dieser Aufwand, der angesichts der Beteiligung des Rechtsvertreters am vorinstanzlichen Verfahren und seiner kurzen Rechtsschriften im vorliegenden Beschwerdeverfahren als relativ gross erscheint, notwendig war. Die den Beschwerdeführerinnen zuzusprechende Parteientschädigung ist daher aufgrund der Akten zu bestimmen. Unter Berücksichtigung des mutmasslichen Arbeits- und Zeitaufwands für das vorliegende Beschwerdeverfahren erscheint eine Parteientschädigung von pauschal Fr. 5'500.- als angemessen. Diese ist der unterliegenden Beschwerdegegnerin zur Zahlung aufzuerlegen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