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A-6743/2014 vom 19. Januar 2016</w:t>
      </w:r>
    </w:p>
    <w:p>
      <w:r>
        <w:t>Bundesverwaltungsgericht, 2016-01-19, IT</w:t>
      </w:r>
    </w:p>
    <w:p>
      <w:r>
        <w:rPr>
          <w:b/>
        </w:rPr>
        <w:t xml:space="preserve">Quelle: </w:t>
      </w:r>
      <w:r>
        <w:t>https://mcp.opencaselaw.ch/entscheid/bvger_A-6743_2014</w:t>
      </w:r>
    </w:p>
    <w:p>
      <w:r>
        <w:t>FR: TAF A-6743/2014 du 19 janvier 2016</w:t>
      </w:r>
    </w:p>
    <w:p>
      <w:r>
        <w:t>IT: TAF A-6743/2014 del 19 gennaio 2016</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 A._______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4002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5.1</w:t>
      </w:r>
    </w:p>
    <w:p>
      <w:r>
        <w:t>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del DFF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chiedendo inoltre una fissazione del prezzo al mq a 110 franchi, e la violazione delle regole relative alle deduzioni, assenti nel foglio di rilevamento 2014 rispetto al precedente (consid. 8). Egli non si è opposto all'aumento della superficie dell'alloggio da 102.90 mq a 121.12 mq.</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annuo per 13'081 franchi annui, la pigione media per alloggi analoghi dovrebbe essere pari a 18'687.15 franchi annui, ovvero a 1'557.25 franchi mensili. Sennonché il ricorrente afferma che per un tale importo, "nel Comune in questione, si trovano appartamenti paragonabili come grandezza, ma di ben altra fattura e posizione: con cucina abitabile nuova, balconi, cantina in ordine, compreso il posteggio, ...".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valutato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13'081 franchi il compenso annuo per l'alloggio di servizio a fronte del precedente compenso di 8'868 franchi annui. Il ricorrente non pretende però di essere a beneficio di un diritto acquisito nella determinazione del compenso, non contesta l'applicazione della Norma SIA 416, bensì si limita a censurare - come sopra visto al consid. 7.1 - la determinazione del prezzo al mq in 120 franchi e la violazione del principio secondo cui il compenso per alloggio di servizio debba rappresentare il 70% della pigione media pagata nella zona per alloggi simili. A mente dello scrivente Tribunale, il nuovo compenso quale esito della moltiplicazione della superficie locata (121.12 mq) e del prezzo al mq (120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Pure il prezzo al metro quadro di 120 franchi è corretto, nella misura in cui esso è determinato secondo il numero di abitanti del comune di B._______ (14'929 abitanti il 31.12 2014) ed in applicazione della cifra 3.3 cpv. 4 che per comuni da 3'000 a 19'999 considera un compenso annuo per metro quadro in 120 franchi. Per quanto attiene invece il valore medio per alloggio nel Comune di B._______, gli unici rilevamenti inerenti l'affitto medio delle abitazioni risalgono al 2013 (fonte Ufficio di statistica, Centro informazione e documentazione) e considerano l'intero Distretto del .... Nello specifico per un'abitazione di 4 locali l'affitto medio netto (senza spese accessorie e spese di riscaldamento) era di 15'048 franchi annui mentre per un'abitazione di 5 locali ammontava a 19'080 franchi; da esso si può desumere che ad abitazione di 4 ½ locali quale quella in oggetto possa corrispondere una pigione media mensile di circa 17'064 franchi (1'422 franchi mensili). L'autorità inferiore ha fissato, con il nuovo rilevamento 2014, quale compenso annuo 13'081 franchi (escluse spese accessorie e di riscaldamento), ossia in 1'090 franchi mensili. Esso corrisponde al 70% di 1'557.25 franchi, ovvero, come correttamente rilevato dal ricorrente, ad un importo maggiore a compensi per alloggi simili nel Distretto del ..., fissata per 4.5 locali a 1'422 franchi mensili. Tuttavia come visto sopra, il limite del 70% ha un valore indicativo, come specifica bene la direttiva DFF 2013 alla cifra 3.6 cpv.1. Inoltre, il cpv. 2 del medesimo disposto di legge ricorda in maniera esplicita che tale valore non può essere fatto valere per contestare il compenso. Infine a sostegno delle proprie allegazioni il ricorrente non ha prodotto alcun documento comprovante le proprie allegazioni, limitandosi a 7 annunci apparsi e ad un rapporto relativo al prezzo degli immobili e appartamenti in locazione nel Comune di C._______, di un istituto bancario privato (docc. N e O).</w:t>
      </w:r>
    </w:p>
    <w:p>
      <w:r>
        <w:rPr>
          <w:b/>
        </w:rPr>
        <w:t>E. 7.4</w:t>
      </w:r>
    </w:p>
    <w:p>
      <w:r>
        <w:t>Ciò detto, non occorre dunque dilungarsi ulteriormente su tale aspetto, ritenuto inoltre che il compenso in discussione sarà rivisto con i considerandi che seguono.</w:t>
      </w:r>
    </w:p>
    <w:p>
      <w:r>
        <w:rPr>
          <w:b/>
        </w:rPr>
        <w:t>E. 8</w:t>
      </w:r>
    </w:p>
    <w:p>
      <w:r>
        <w:t>L'insorgente ha inoltre censurato che il nuovo rilevamento 2014 non contempla alcuna deduzione per attrezzatura mancante, contempla una deduzione del 10% in ragione delle condizioni sfavorevoli della zona e nessuna deduzione per la disposizione inadeguata dei locali. A suo dire, le deduzioni attuali dovrebbero essere pari al massimo consentito dalla Direttiva DFF 2013 ossia al 30% (40% in realtà), suddivisi in 20% per cento per attrezzatura mancante, 10% per condizioni sfavorevoli della zona, confermando dunque quanto riconosciuto dall'autorità inferiore, e 10% per disposizione inadeguata dei locali. La pigione netta sarebbe quindi pari a 9'326.35 franchi.</w:t>
      </w:r>
    </w:p>
    <w:p>
      <w:r>
        <w:rPr>
          <w:b/>
        </w:rPr>
        <w:t>E. 8.1.1</w:t>
      </w:r>
    </w:p>
    <w:p>
      <w:r>
        <w:t>Con riferimento all'arredo mancante il ricorrente sostiene che, in applicazione delle cifre 3.1 e 3.4 con rinvio all'allegato Direttive DFF 2013 per gli alloggi di servizio in nuove costruzioni, sono giustificate deduzioni del 20%, considerato per di più che in precedenza l'AFD aveva riconosciuto determinate deduzioni per arredo mancante. Nello specifico egli evidenzia la necessità di deduzioni segnatamente a seguito dello stato dei seguenti locali: - soggiorno: parquet laccato con parecchie fessure, intonaco fragile, solaio in legno, mancanza di interruttore con presa; - camera da letto matrimoniale: mancanza di allacciamento TV e telefono, mancanza di interruttore con presa elettrica; - camera da letto 1 mancanza di allacciamento TV e telefono, presa elettrica con interruttore; - camera da letto 2: parquet laccato con fessure, intonaco pareti fragile, solaio in legno, mancanza allacciamento TV; - cucina: cucina abitabile di soli 17 mq, intonaco fragile, solaio i legno, arredi e rivestimenti dell'immobile cucina non conformi; - stanza da bagno /doccia: vasca da bagno usurata, una sola presa elettrica sull'armadietto; - corridoio: pavimento coordinato con la sola cucina, una sola presa, solaio in legno; - balcone: nessuna presa elettrica; - lavanderia: mancanza di locale lavanderia, pareti in cemento; - solaio: accessibilità con scala troppo ripida; - cantine: umida, maleodorante, piccolo ripostiglio chiudibile a chiave, assenza di prese elettriche; - riscaldamento con acqua calda sanitaria: produzione di calore con olio combustibile, suddivisione dei costi mediante calcolo proporzionale alla superficie locata per ogni inquilino; - protezione persone: accesso a vari locali non conforme alle istruzioni UFPP; - locale pulizia: inesistente; - locale / parcheggi: inesistente; - deposito carrozzelle e passeggini: inesistente; - autorimesse: prese non stagne, spazio insufficiente per bici e motorini.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dunque condividere le allegazioni dell'autorità inferiore secondo cui l'Allegato citato non trova applicazione; esso infatti come prescrive la Direttiva DFF 2013 torna applicabile, per analogia, per deduzioni anche per locali di servizio già esistenti. In casu, il ricorrente ha allegato una copiosa documentazione fotografica, da cui emergono problematiche limitate agli intonaci, al locale cantina, agli infissi, al pavimento e in parte al locale cucina e bagno; nulla di preciso in riferimento a determinati locali abitabili. Va inoltre evidenziato che, con riferimento all'arredo mancate, il rilevamento precedente aveva riconosciuto due deduzioni specifiche pari a 110 franchi per mancanza di impianto per lavare/lavatoio e pari a 110 franchi per mancanza di impianto per lavare essiccatoio.</w:t>
      </w:r>
    </w:p>
    <w:p>
      <w:r>
        <w:rPr>
          <w:b/>
        </w:rPr>
        <w:t>E. 8.1.4</w:t>
      </w:r>
    </w:p>
    <w:p>
      <w:r>
        <w:t>In queste circostanze, considerato l'ampio potere di apprezzamento dell'autorità giudiziaria, e considerato che l'appartamento è rimasto identico al rilevamento precedente, il Tribunale ritiene giustificato una deduzione per arredo mancante pari al 10% del compenso netto, comprensivo delle deduzioni precedenti pari a 220 franchi.</w:t>
      </w:r>
    </w:p>
    <w:p>
      <w:r>
        <w:rPr>
          <w:b/>
        </w:rPr>
        <w:t>E. 8.2</w:t>
      </w:r>
    </w:p>
    <w:p>
      <w:r>
        <w:t>Per quanto attiene invece alla deduzione a motivo della "condizione sfavorevole della zona" in cui si trova l'alloggio, il ricorrente chiede la deduzione del 10%, aspetto però pure riconosciuto dall'autorità inferiore nel nuovo rilevamento. Ne consegue dunque che tale censura è priva d'oggetto.</w:t>
      </w:r>
    </w:p>
    <w:p>
      <w:r>
        <w:rPr>
          <w:b/>
        </w:rPr>
        <w:t>E. 8.3.1</w:t>
      </w:r>
    </w:p>
    <w:p>
      <w:r>
        <w:t>Per quanto riguarda la disposizione inadeguata dei locali il ricorrente evidenzia che con il rilevamento 2014, l'AFD non ha previsto alcuna deduzione. Ciò, a dire del ricorrente, in modo ingiustificato poiché l'appartamento è poco luminoso, a causa dell'altezza di alcune finestre; inoltre nella parte vecchia, i passaggi da un locale all'altro sono caratterizzati dalla presenza di pedane in legno, in cui è facile inciampare, e l'accesso al locale in cui si lava è difficoltoso. Infine la cantina sarebbe inutilizzabile. Ne discende a suo dire una deduzione pari al 10% del compenso netto. L'AFD ha invece precisato che non vi è alcun fondamento per le deduzioni, poiché "gli alloggi oggi a disposizione dei membri del Cgcf [Corpo guardie di confine] sono da ritenersi oramai confacenti ad uno standard normale, senza più considerare sconti applicati in precedenza, indiscriminatamente e senza considerazione di criteri oggettivi".</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Se da una parte l'AFD si è limitata ad affermare in maniera generale che gli alloggi attualmente a disposizione dei membri del Cgcf sono da ritenersi oramai confacenti ad uno standard normale, d'altra parte il ricorrente non ha allegato alcuna documentazione comprovante la situazione insolita dei locali, attraverso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w:t>
      </w:r>
    </w:p>
    <w:p>
      <w:r>
        <w:t>L'insorgente ha altresì postulato una deduzione in considerazione del "cosiddetto caso di rigore finanziario" in cui versa con la propria famiglia. Egli, correttamente rinvia alla cifra 1.3 delle Direttive Alloggi di servizio e alloggi in locazione del 1° settembre 2014, da cui emerge che "[a]llorquando il compenso supera il 25% del reddito del nucleo familiare (secondo dichiarazione delle imposte), viene a crearsi un cosiddetto caso di rigore finanziario. In tale caso i collaboratori del Cgcf possono, verso presentazione di una richiesta al competente CIM, chiedere una riduzione del compenso". Sennonché dalla emergenze istruttorie non si evince che tale formale richiesta sia effettivamente avvenuta. Del resto la decisione qui impugnata nemmeno ne fa menzione. Ne discende dunque che il ricorrente non è precluso nel proprio diritto di postulare una simile deduzione all'AFD, ma l'inoltro di un ricorso alla presente autorità giudiziaria su tale aspetto deve fondarsi su una decisione formale adottata dall'autorità di prima istanza, ciò che non è avvenuto. Il ricorso su tale aspetto è dunque.</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20 ottobre 2014 è contraria la diritto applicabile, in particolare alle Direttive DFF 2013.</w:t>
      </w:r>
    </w:p>
    <w:p>
      <w:r>
        <w:rPr>
          <w:b/>
        </w:rPr>
        <w:t>E. 11.2</w:t>
      </w:r>
    </w:p>
    <w:p>
      <w:r>
        <w:t>Conseguentemente il ricorso presentato dal ricorrente, per quanto ricevibile, è ammesso ai sensi dei considerandi. A titolo indicativo, lo scrivente Tribunale considera che il compenso netto annuo per l'alloggio di servizio netto è quindi ridotto con una deduzione pari al 10% per arredo mancante, ossia da 13'081 franchi a 11'772.90 franchi.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