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A-672/2020 vom 3. März 2021</w:t>
      </w:r>
    </w:p>
    <w:p>
      <w:r>
        <w:t>Bundesverwaltungsgericht, 2021-03-03, DE</w:t>
      </w:r>
    </w:p>
    <w:p>
      <w:r>
        <w:rPr>
          <w:b/>
        </w:rPr>
        <w:t xml:space="preserve">Quelle: </w:t>
      </w:r>
      <w:r>
        <w:t>https://mcp.opencaselaw.ch/entscheid/bvger_A-672_2020</w:t>
      </w:r>
    </w:p>
    <w:p>
      <w:r>
        <w:t>FR: TAF A-672/2020 du 3 mars 2021</w:t>
      </w:r>
    </w:p>
    <w:p>
      <w:r>
        <w:t>IT: TAF A-672/2020 del 3 marzo 2021</w:t>
      </w:r>
    </w:p>
    <w:p>
      <w:pPr>
        <w:pStyle w:val="Heading2"/>
      </w:pPr>
      <w:r>
        <w:t>Regeste</w:t>
      </w:r>
    </w:p>
    <w:p>
      <w:r>
        <w:t>Amtshilfe</w:t>
      </w:r>
    </w:p>
    <w:p>
      <w:pPr>
        <w:pStyle w:val="Heading2"/>
      </w:pPr>
      <w:r>
        <w:t>Erwägungen</w:t>
      </w:r>
    </w:p>
    <w:p>
      <w:r>
        <w:rPr>
          <w:b/>
        </w:rPr>
        <w:t>E. 1.1</w:t>
      </w:r>
    </w:p>
    <w:p>
      <w:r>
        <w:t>Dem vorliegenden Verfahren liegt ein Amtshilfeersuchen und ein Ergänzungsersuchen des MoF zugrunde, welche sich auf das DBA CH-IN stützen. Das Verfahren richtet sich nach dem Bundegesetz vom 28. September 2012 über die internationale Amtshilfe in Steuersachen (StAhiG; SR 651.1; vgl. Art. 24 StAhiG e contrario). Vorbehalten bleiben abweichende Bestimmungen des im vorliegenden Fall anwendbaren DBA CH-IN (vgl. Art. 1 Abs. 2 StAhiG). Gemäss Art. 19 Abs. 5 StAhiG gelten die Bestimmungen über die Bundesrechtspflege, soweit das StAhiG keine abweichenden Bestimmungen enthält.</w:t>
      </w:r>
    </w:p>
    <w:p>
      <w:r>
        <w:rPr>
          <w:b/>
        </w:rPr>
        <w:t>E. 1.2</w:t>
      </w:r>
    </w:p>
    <w:p>
      <w:r>
        <w:t>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der Amtshilfe im Rahmen des DBA CH-IN (vgl. Art. 32 VGG e contra-rio; Art. 19 Abs. 1 StAhiG). Die Zuständigkeit des Bundesverwaltungsgerichts zur Behandlung der vorliegenden Beschwerde ist somit gegeben. Die Beschwerdeführerin erfüllt als Adressatin der angefochtenen Schlussverfügung und als Person, deren Daten übermittelt werden sollen, die Voraussetzungen der Beschwerdelegitimation (Art. 48 Abs. 1 VwVG i.V.m. Art. 19 Abs. 2 StAhiG). Die Beschwerde wurde überdies form- und fristgerecht eingereicht (Art. 50 Abs. 1 und Art. 52 Abs. 1 VwVG i.V.m. Art. 19 Abs. 5 StAhiG). Auf die Beschwerde ist einzutreten.</w:t>
      </w:r>
    </w:p>
    <w:p>
      <w:r>
        <w:rPr>
          <w:b/>
        </w:rPr>
        <w:t>E. 1.3</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w:t>
      </w:r>
    </w:p>
    <w:p>
      <w:r>
        <w:t>Im Folgenden ist auf die einschlägigen rechtlichen Grundlagen für die Leistung von Amtshilfe, insbesondere an Indien, einzugehen.</w:t>
      </w:r>
    </w:p>
    <w:p>
      <w:r>
        <w:rPr>
          <w:b/>
        </w:rPr>
        <w:t>E. 2.1</w:t>
      </w:r>
    </w:p>
    <w:p>
      <w:r>
        <w:t>Die Amtshilfeklausel von Art. 26 DBA CH-IN in der (aktuellen) Fassung gemäss dem Änderungsprotokoll ist bei Amtshilfeersuchen Indiens anwendbar auf die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(OECD-MA).</w:t>
      </w:r>
    </w:p>
    <w:p>
      <w:r>
        <w:rPr>
          <w:b/>
        </w:rPr>
        <w:t>E. 2.2.1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w:t>
      </w:r>
    </w:p>
    <w:p>
      <w:r>
        <w:rPr>
          <w:b/>
        </w:rPr>
        <w:t>E. 2.2.2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w:t>
      </w:r>
    </w:p>
    <w:p>
      <w:r>
        <w:rPr>
          <w:b/>
        </w:rPr>
        <w:t>E. 2.2.3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A-5146/2018 vom 28. Juli 2020 E. 5.2.1, mit Hinweisen).</w:t>
      </w:r>
    </w:p>
    <w:p>
      <w:r>
        <w:rPr>
          <w:b/>
        </w:rPr>
        <w:t>E. 2.2.4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w:t>
      </w:r>
    </w:p>
    <w:p>
      <w:r>
        <w:rPr>
          <w:b/>
        </w:rPr>
        <w:t>E. 2.2.5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A-140/2019 vom 13. Mai 2019 E. 3.1.2, mit Hinweisen).</w:t>
      </w:r>
    </w:p>
    <w:p>
      <w:r>
        <w:rPr>
          <w:b/>
        </w:rPr>
        <w:t>E. 2.2.6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BGer 2C_287/2019, 2C_288/2019 vom 13. Juli 2020 E. 5.2).</w:t>
      </w:r>
    </w:p>
    <w:p>
      <w:r>
        <w:rPr>
          <w:b/>
        </w:rPr>
        <w:t>E. 2.3.1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2.3.2</w:t>
      </w:r>
    </w:p>
    <w:p>
      <w:r>
        <w:t>Das völkerrechtliche Vertrauensprinzip spielt auch eine Rolle in Bezug auf das Spezialitätsprinzip (s. auch E. 2.4).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2.4.1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2.4.2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mit weiteren Hinweisen).</w:t>
      </w:r>
    </w:p>
    <w:p>
      <w:r>
        <w:rPr>
          <w:b/>
        </w:rPr>
        <w:t>E. 2.4.3</w:t>
      </w:r>
    </w:p>
    <w:p>
      <w:r>
        <w:t>Auch das Bundesgericht bestätigte - insbesondere mit Urteil 2C_537/2019 vom 13. Juli 2020 -, dass das Spezialitätsprinzip nicht nur eine sachliche, sondern auch eine persönliche Dimension aufweist (vgl. E. 3.1 ff. des genannten Urteils sowie ferner etwa das Urteil des BGer 2C_545/2019 vom 13. Juli 2020 E. 4.7, mit weiteren Hinweisen).</w:t>
      </w:r>
    </w:p>
    <w:p>
      <w:r>
        <w:rPr>
          <w:b/>
        </w:rPr>
        <w:t>E. 2.5.1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Urteil des BVGer A-5522/2019 vom 18. August 2020 E. 2.6.1).</w:t>
      </w:r>
    </w:p>
    <w:p>
      <w:r>
        <w:rPr>
          <w:b/>
        </w:rPr>
        <w:t>E. 2.5.2</w:t>
      </w:r>
    </w:p>
    <w:p>
      <w:r>
        <w:t>Aufgrund des völkerrechtlichen Vertrauensprinzips (E. 2.3.1)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Urteile des BVGer A-3703/2019 vom 23. April 2020 E. 2.4.2 und E. 2.7.1, A-2725/2019 vom 25. Februar 2020 E. 2.6.2, A-4025/2016 vom 2. Mai 2017 E. 3.2.4).</w:t>
      </w:r>
    </w:p>
    <w:p>
      <w:r>
        <w:rPr>
          <w:b/>
        </w:rPr>
        <w:t>E. 2.6.1</w:t>
      </w:r>
    </w:p>
    <w:p>
      <w:r>
        <w:t>Das Recht auf Akteneinsicht ist Teil des verfassungsrechtlichen Anspruchs auf rechtliches Gehör, welcher in Art. 29 Abs. 2 der Bundesverfassung der Schweizerischen Eidgenossenschaft vom 18. April 1999 (BV; SR 101) verankert ist (BGE 140 V 464 E. 4.1, 135 II 286 E. 5.1). Sinn und Zweck des Akteneinsichtsrechts ist, dass die Parteien die Elemente kennen, die für den Entscheid der Behörde bzw. des Gerichts möglicherweise relevant sein können (vgl. BGE 132 V 387 E 3.2; Waldmann/Oeschger, in: Waldmann/Weissenberger [Hrsg.], Praxiskommentar zum Bundesgesetz über das Verwaltungsverfahren, 2. Aufl. 2016 [nachfolgend: Praxiskommentar], Art. 26 N. 32).</w:t>
      </w:r>
    </w:p>
    <w:p>
      <w:r>
        <w:rPr>
          <w:b/>
        </w:rPr>
        <w:t>E. 2.6.2</w:t>
      </w:r>
    </w:p>
    <w:p>
      <w:r>
        <w:t>Gemäss Art. 15 StAhiG können die beschwerdeberechtigten Personen «sich am Verfahren beteiligen und Einsicht in die Akten nehmen» (Abs. 1). «Soweit die ausländische Behörde Geheimhaltungsgründe hinsichtlich gewisser Aktenstücke glaubhaft macht, kann die ESTV einer beschwerdeberechtigten Person die Einsicht in die entsprechenden Aktenstücke nach Art. 27 VwVG verweigern» (Abs. 2; vgl. auch Urteil des BGer 2C_112/2015 vom 27. August 2015 E. 4.3).</w:t>
      </w:r>
    </w:p>
    <w:p>
      <w:r>
        <w:rPr>
          <w:b/>
        </w:rPr>
        <w:t>E. 2.6.3</w:t>
      </w:r>
    </w:p>
    <w:p>
      <w:r>
        <w:t>Für das Verwaltungsverfahren des Bundes und das anschliessende Beschwerdeverfahren konkretisieren die Art. 26-28 VwVG das Recht auf Akteneinsicht. Gemäss Art. 26 Abs. 1 VwVG hat die Partei oder ihr Vertreter - unter Vorbehalt von Art. 27 VwVG (vgl. dazu sogleich E. 2.6.4) - Anspruch darauf, in ihrer Sache Eingaben von Parteien und Vernehmlassungen von Behörden (Bst. a), alle als Beweismittel dienende Aktenstücke (Bst. b) und Niederschriften eröffneter Verfügungen (Bst. c) einzusehen. Das Akteneinsichtsrecht bezieht sich dabei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(BGE 121 I 225 E. 2a; Urteil des BVGer A-7021/2007 vom 21. April 2008 E. 5).</w:t>
      </w:r>
    </w:p>
    <w:p>
      <w:r>
        <w:rPr>
          <w:b/>
        </w:rPr>
        <w:t>E. 2.6.4</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wenn wesentliche private Interessen, insbesondere von Gegenparteien, die Geheimhaltung erfordern (Bst. b) oder das Interesse einer noch nicht abgeschlossenen amtlichen Untersuchung es erfordert (Bst. c; zum Ganzen: Zwischenverfügung des BVGer A-5694/2017 vom 21. Februar 2018 E. 2.3). Zu den wesentlichen privaten Interessen, welche eine Geheimhaltung erfordern, zählen namentlich Geschäftsgeheimnisse von Gegenparteien oder Dritten (Konkurrenten; Zwischenverfügung des BVGer A-5694/2017 vom 21. Februar 2018 E. 2.3). Geschäftsgeheimnisse umfassen alle Tatsachen des wirtschaftlichen Lebens an deren Geheimhaltung ein schutzwürdiges Interesse besteht. Mit anderen Worten handelt es sich um Geschäftsgeheimnisse, wenn bestimmte wirtschaftliche Vorgänge vorliegen, deren Geheimhaltung der Geheimnisträger will und an deren Geheimhaltung er ein schützenswertes Interesse hat (vgl. Urteil des BGer 4P.48/2002 vom 4. Juni 2002 E. 3b.dd; Urteil des BVGer A-3103/2011 vom 9. Mai 2012 E. 7.3.2). Bei dem in Art. 27 Abs. 1 Bst. a und b VwVG verwendeten Begriff des «wesentlichen Interesses» öffentlicher oder privater Natur handelt es sich um einen unbestimmten Rechtsbegriff. Bei der Anwendung dieses unbestimmten Rechtsbegriffes kommt den Behörden ein weiter Beurteilungsspielraum zu (Urteil des BVGer B-6062/2011 vom 22. März 2012 E. 4.4.1). Es ist nach den Umständen des konkreten Einzelfalles und nicht generell zu beurteilen, welches dem Einsichtsrecht entgegenstehende Interesse im Sinne von Art. 27 Abs. 1 Bst. a und b VwVG als wesentlich zu gelten hat (vgl. BGE 117 Ib 481 E. 7a/aa, mit Hinweis; Zwischenverfügung des BVGer A-5694/2017 vom 21. Februar 2018 E. 2.3). Liegen Geheimhaltungsgründe vor, ist aufgrund einer Interessenabwägung zwischen dem Geheimhaltungsinteresse einerseits und dem Interesse an der Akteneinsicht andererseits, abzuwägen. Wegleitend für die Abwägung ist das Verhältnismässigkeitsprinzip (Art. 5 Abs. 2 BV; Zwischenverfügungen des BVGer A-5694/2017 vom 21. Februar 2018 E. 2.3 und A-6337/2014 vom 7. April 2015 E. 2, mit Hinweisen; Waldmann/Oeschger, Praxiskommentar, Art. 27 N. 3 f.).</w:t>
      </w:r>
    </w:p>
    <w:p>
      <w:r>
        <w:rPr>
          <w:b/>
        </w:rPr>
        <w:t>E. 3.1.1</w:t>
      </w:r>
    </w:p>
    <w:p>
      <w:r>
        <w:t>Im vorliegenden Verfahren macht die Beschwerdeführerin im Wesentlichen geltend, dass eine «fishing expedition» vorliege und die voraussichtliche Erheblichkeit der ersuchten Informationen fehle. Die Beschwerdeführerin führt argumentativ ins Feld, dass die betroffene Person auf den ersuchten Informationen nie namentlich erwähnt werde. Zudem würden die Kontoeröffnungsunterlagen keinen Bezug zur Steuersituation der betroffenen Person aufweisen.</w:t>
      </w:r>
    </w:p>
    <w:p>
      <w:r>
        <w:rPr>
          <w:b/>
        </w:rPr>
        <w:t>E. 3.1.2</w:t>
      </w:r>
    </w:p>
    <w:p>
      <w:r>
        <w:t>Vorwegzunehmen ist, dass das originäre Ersuchen des MoF konkrete Fragen beinhaltet, die sich auf eine identifizierte Person im Rahmen einer im ersuchenden Staat laufenden Untersuchung beziehen (vgl. hierzu E. 2.2.2 f.). Somit erfüllt das vorliegend zu beurteilende Amtshilfeersuchen des MoF die formellen Voraussetzungen gemäss Art. 10 Bst. d des Protokolls zum DBA CH-IN (vgl. auch Art. 13 Änderungsprotokoll). Das Ersuchen erweist sich damit als hinreichend konkret, weshalb im vorliegenden Fall keine «fishing expedition» gegeben ist. Die Argumente der Beschwerdeführerin, es handle sich im vorliegenden Fall um eine unzulässige «fishing expedition», überzeugen somit nicht.</w:t>
      </w:r>
    </w:p>
    <w:p>
      <w:r>
        <w:rPr>
          <w:b/>
        </w:rPr>
        <w:t>E. 3.1.3</w:t>
      </w:r>
    </w:p>
    <w:p>
      <w:r>
        <w:t>Es ist grundsätzlich Sache des ersuchenden Staats zu bestimmen, welche Informationen für die Besteuerung voraussichtlich erheblich sind (vgl. E. 2.2.4 f.). Das MoF möchte mit dem originären Ersuchen und dem Ergänzungsersuchen insbesondere die Mittelherkunft («source of funds») des Darlehens der Beschwerdeführerin an die Gesellschaft untersuchen, da dieses aus Mitteln der betroffenen Person oder der mit ihr verbundenen Gesellschaften stammen könnte. Denn das MoF hegt die Vermutung, dass die betroffene Person Einkommen nicht versteuert hat und Gelder via «various offshore companies situated in different countries» geflossen seien. Die vom MoF im Zusammenhang mit der Besteuerung der betroffenen Person ersuchten Informationen betreffend das durch die Beschwerdeführerin gehaltene Bankkonto («account statements» und «bank opening forms», s. auch Sachverhalt Bst. A) erscheinen damit vorliegend als geeignet, die Einkommensbesteuerung und damit die Steuersituation der betroffenen Person in Indien zu beeinflussen (auch wenn die betroffene Person gegebenfalls nicht auf den Kontounterlagen der Beschwerdeführerin namentlich genannt ist). Da folglich der im originären Ersuchen sowie im Ergänzungsersuchen genannte Sachverhalt zudem mit den verlangten Informationen sowie den ersuchten Dokumenten zusammenhängt und die Informationen möglicherweise dazu geeignet sind, im ausländischen Verfahren gegen die betroffene Person verwendet zu werden, ist in casu - in Übereinstimmung mit den Erwägungen in der Schlussverfügung der Vorinstanz - die voraussichtliche Erheblichkeit sämtlicher Informationen gegeben. Entsprechend misslingt es der Beschwerdeführerin mit den unsubstantiierten Behauptungen («es fehle an der voraussichtlichen Erheblichkeit der Informationen») aufzuzeigen, dass ein Zusammenhang zwischen den verlangten Informationen und der in Indien durchgeführten Untersuchung wenig wahrscheinlich erscheint. Ebenso vermag sie nicht, substantiiert die Erklärungen des MoF zu entkräften. Deshalb besteht aufgrund des völkerrechtlichen Vertrauensprinzips kein Anlass (s. E. 2.3.1), an der Richtigkeit der Ausführungen und Erklärungen der ersuchenden Behörde zu zweifeln.</w:t>
      </w:r>
    </w:p>
    <w:p>
      <w:r>
        <w:rPr>
          <w:b/>
        </w:rPr>
        <w:t>E. 3.2.1</w:t>
      </w:r>
    </w:p>
    <w:p>
      <w:r>
        <w:t>Die Beschwerdeführerin beantragt (sub)eventualiter, dass nur gewisse Transaktionen in Zusammenhang mit der Gesellschaft zu übermitteln seien und die anderen Informationen zu schwärzen seien. Mit Bezug auf diese Schwärzungsanträge der Beschwerdeführerin ist festzuhalten, dass die Schwärzung sämtlicher Informationen, ausser derjenigen betreffend die Gesellschaft (und des Formulars A; s. Sachverhalt Bst. I), die Informationen für das MoF möglicherweise nutzlos machen würden. Denn dem MoF geht es gerade um die Überprüfung der Mittelherkunft («source of funds») des Darlehens der Beschwerdeführerin an die Gesellschaft. Die betroffene Person besitzt überdies nach dem Wortlaut des Ersuchens sowie des Ergänzungsersuchens nicht nur eine Gesellschaft, sondern mehrere Gesellschaften («various offshore companies situated in different countries»). Insofern sind sämtliche Informationen voraussichtlich erheblich und gerade nicht zu schwärzen (s. E. 2.2.6 und Urteil des BGer 2C_545/2019 vom 13. Juli 2020 E. 4.2).</w:t>
      </w:r>
    </w:p>
    <w:p>
      <w:r>
        <w:rPr>
          <w:b/>
        </w:rPr>
        <w:t>E. 3.2.2</w:t>
      </w:r>
    </w:p>
    <w:p>
      <w:r>
        <w:t>Immerhin sind die in den Bankunterlagen stehenden Personen durch das Spezialitätsprinzip geschützt, welches auch eine persönliche Dimension aufweist (Urteile des BGer 2C_537/2019 vom 13. Juli 2020 E. 3.4.3 und 3.5, 2C_376/2019 vom 13. Juli 2020 E. 7.1.3). Der Spezialitätsvorbehalt ist in Art. 26 Abs. 2 DBA CH-IN enthalten. Nachdem aber international wie national unterschiedliche Auffassungen darüber bestehen, wie weit dieser Spezialitätsvorbehalt reicht und insbesondere, ob ihm eine persönliche Dimension zukommt, ist es angezeigt, dass die ESTV das MoF anlässlich der Übermittlung der ersuchten Informationen über den Umfang der Verwendungsbeschränkung informiert (Urteile des BGer 2C_537/2019 vom 13. Juli 2020 E. 3.7 2. Absatz, 2C_545/2019 vom 13. Juli 2020 E. 4.7). Die ESTV wird Ziff. 4 des Dispositivs der angefochtenen Verfügung entsprechend zu präzisieren haben.</w:t>
      </w:r>
    </w:p>
    <w:p>
      <w:r>
        <w:rPr>
          <w:b/>
        </w:rPr>
        <w:t>E. 3.3</w:t>
      </w:r>
    </w:p>
    <w:p>
      <w:r>
        <w:t>Mit Blick auf das völkerrechtliche Vertrauensprinzip besteht kein Anlass, an der im originären Ersuchen enthaltenen Erklärung, dass alle in Indien verfügbaren Mittel zur Informationsbeschaffung genutzt wurden («it has pursued all means available in our own territory to obtain the information, except those that would give rise to disproportionate difficulties»), zu zweifeln. Die Beschwerdeführerin hat nämlich keine konkreten Anhaltspunkte für eine fehlende Ausschöpfung aller üblichen, in Indien den Steuerbehörden zur Verfügung stehenden Mittel der Informationsbeschaffung dargetan, welche ernsthafte Zweifel an der Richtigkeit der erwähnten, im Ersuchen abgegebenen Erklärung des MoF zu wecken vermögen (vgl. E. 2.5.2). Von der Vermutung, dass der ersuchende Staat seinen vertraglichen Verpflichtungen nachkommt, ist vorliegend auch nicht angesichts des von der Beschwerdeführerin vorgebrachten Argumentes sowie der unsubstantiierten Behauptung (das MoF hätte innerstaatliche Ermittlungsmassnahmen wie eine «Befragung» der betroffenen Person dartun müssen) abzurücken. Damit kann in den Vorbringen der Beschwerdeführerin kein rechtsgenügender Grund erblickt werden, wonach die im Zusammenhang mit dem Ersuchen sowie dem Ergänzungsersuchen von der ESTV beabsichtigte Amtshilfe gestützt auf das Subsidiaritätsprinzip zu verweigern wäre.</w:t>
      </w:r>
    </w:p>
    <w:p>
      <w:r>
        <w:rPr>
          <w:b/>
        </w:rPr>
        <w:t>E. 3.4</w:t>
      </w:r>
    </w:p>
    <w:p>
      <w:r>
        <w:t>Die Beschwerdeführerin rügt schliesslich, dass die Vorinstanz die ersuchten Informationen, welche «Geschäftsgeheimnisse» enthalten würden, an «Dritte», namentlich an die betroffene Person, rechtswidrig herausgegeben habe. Sie beantragt die Feststellung der Rechtswidrigkeit, die Rückforderung dieser Akten bzw. Vernichtung derselben bei der betroffenen Person. Namentlich aufgrund der Tatsache, dass es sich bei der betroffenen Person (soweit in den Dokumenten ersichtlich) weder um eine Konkurrentin noch um eine Gegenpartei der Beschwerdeführerin handelt, würde ein allfälliges Geheimhaltungsinteresse im vorliegenden Fall das gewichtige und verfassungsmässig garantierte Interesse der betroffenen Person an der Einsicht in diese Unterlagen nicht überwiegen. Es besteht somit kein wesentliches Interesse, welches es erfordern würde, die Rechtswidrigkeit festzustellen bzw. die Rückforderung der Unterlagen oder deren Vernichtung bei der betroffenen Person zu veranlassen.</w:t>
      </w:r>
    </w:p>
    <w:p>
      <w:r>
        <w:rPr>
          <w:b/>
        </w:rPr>
        <w:t>E. 4.1</w:t>
      </w:r>
    </w:p>
    <w:p>
      <w:r>
        <w:t>Ausgangsgemäss hat die unterliegende Beschwerdeführerin die Verfahrenskosten zu tragen (Art. 63 Abs. 1 VwVG). Diese sind auf CHF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