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A-6692/2017 vom 12. Mai 2021</w:t>
      </w:r>
    </w:p>
    <w:p>
      <w:r>
        <w:t>Bundesverwaltungsgericht, 2021-05-12, IT</w:t>
      </w:r>
    </w:p>
    <w:p>
      <w:r>
        <w:rPr>
          <w:b/>
        </w:rPr>
        <w:t xml:space="preserve">Quelle: </w:t>
      </w:r>
      <w:r>
        <w:t>https://mcp.opencaselaw.ch/entscheid/bvger_A-6692_2017</w:t>
      </w:r>
    </w:p>
    <w:p>
      <w:r>
        <w:t>FR: TAF A-6692/2017 du 12 mai 2021</w:t>
      </w:r>
    </w:p>
    <w:p>
      <w:r>
        <w:t>IT: TAF A-6692/2017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K._______, svoltosi in francese e senza interprete, in totale violazione dei suoi diritti processuali. Tale evenienza sarebbe comprovata dal fatto che nei successivi interrogatori, il signor K._______ avrebbe corretto le sue prime dichiarazioni. Peraltro, sarebbe a torto che la DAPI e poi l'autorità inferiore si sarebbero fondate sulle false dichiarazioni del signor D._______ (cfr. ricorso 22 novembre 2017, pagg. 4 seg.) e su quelle inattendibili del signor L._______ (cfr. ricorso 22 novembre 2017, pag. 22).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E._______ A._______ D._______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non avrebbe indicato in maniera esaustiva i motivi alla base della ripresa fiscale in oggetto (cfr. ricorso 22 novembre 2017, pag. 15 segg.). Peraltro, l'autorità inferiore non avrebbe fornito alcuna sufficiente motivazione comprovante la sussistenza di prestazioni valutabili in denaro, ovvero di redditi non contabilizzati dalle varie società - tra cui la B._______ -e tanto meno ch'egli possa essere considerato in qualsiasi modo aver beneficiato di tali prestazioni (cfr. replica 30 luglio 2018, pagg. 7 seg.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G._______»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 16; replica 30 luglio 2018, pag. 18).</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concernono il periodo fiscale 2008-2009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la B._______ ha inviato all'AFC i conti 2008 e 2009, datati 26 giugno 2010 (cfr. atto DAPI n. 620.100.001-095 e 620.200.001-091) in data 30 giugno 2010. Tale circostanza non è peraltro contestata dal ricorrente. In tal caso, così come giustamente ritenuto dall'autorità inferiore, si deve considerare che il termine di prescrizione di 7 anni ha iniziato a decorrere all'indomani dell'invio dei conti 2008 e 2009, ossia il 1° luglio 2010 e sarebbe giunto a scadenza il 1° luglio 2017 (cfr. consid. 4.1.3 del presente giudizio).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(A-6692/2017) è la stessa di quella alla base di altre nove procedure parallele (A-6685/2017, A-6686/2017, A-6687/2017, A-6688/2017, A-6689/2017, A-6690/2017, A-6691/2017, A-6693/2017 e A-6694/2017).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X._______ e radiate dal Registro di commercio a seguito del loro fallimento - si sono succedute nella gestione del postribolo denominato « F._______ » e/o dell'esercizio pubblico denominato « C._______ », entrambi ubicati a X._______, in uno stabile di proprietà del ricorrente, così come meglio precisato: Periodo di gestione C._______ F._______ 01.01.2006-30.06.2006 M._______ Q._______ 01.07.2006-31.10.2008 N._______ R._______ 01.11.2008-30.05.2009 B._______ S._______ 01.06.2009-30.06.2011 O._______ T._______ 01.07.2011-28.02.2012 P._______ U._______ Più nel dettaglio, il « modus operandi » sarebbe stato il seguente. Di volta in volta, due società distinte si sarebbero occupate l'una della gestione del « C._______ » e l'altra di quella delle stanze del postribolo « F._______ ».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V._______ (arredamento e oggettistica varia), società sempre a lui riconducibile. La contabilità ufficiale e di « facciata » sarebbe stata tenuta da un fiduciario, il signor D._______. Ciò precisato, durante il loro periodo di attività, dette società avrebbero tuttavia omesso di contabilizzare nei propri rendiconti gli utili di loro spettanza e da esse realizzati nell'ambito di tale gestione, versandoli al ricorrente e al signor E._______,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E._______.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F._______ » (cfr. citato PVF, punto n. 3.3.3) e 6'483'715 franchi per le cinque società che hanno gestito il « C._______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F._______ » e 5'754'722.25 franchi per le cinque società che hanno gestito il « C._______ »: « F._______ » « C._______ » Gestore Prestazioni valutabili in denaro Gestore Prestazioni valutabili in denaro Q._______ fr. 437'880.00 M._______ fr. 763'224.75 R._______ fr. 820'186.80 (di cui fr. 50'000 concernenti solo il ricorrente) N._______ fr. 938'216.00 S._______ fr. 553'406.90 (di cui fr. 10'000 concernenti solo il ricorrente) B._______ fr. 1'944'294.90 T._______ fr. 1'861'364.35 (di cui fr. 50'000 concernenti solo il ricorrente) O._______ fr. 1'479'521.50 U._______ fr. 543'206.35 P._______ fr. 629'465.10 TOTALE fr. 4'216'044.40 TOTALE fr. 5'754'722.25 La ripresa d'imposta preventiva totale dell'autorità inferiore - così come risultante dalle decisioni su reclamo citate poc'anzi - è dunque pari a 3'489'768.30 franchi (fr. 1'475'615.60 per la « F._______ » e fr. 2'014'152.70 per il « C._______ »), oltre accessori. Sulla base dell'art. 12 cpv. 2 DPA, essa è poi stata posta dall'autorità inferiore a carico del ricorrente (in ragione del 78%) e del signor E._______ (in ragione del 22%), in qualità di beneficiari delle prestazioni valutabili in denaro in oggetto, come segue: « F._______ » Gestore Imposta preventiva Ricorrente E._______ 78% 22% Q._______ fr. 153'258.00 fr. 119'541.25 fr. 33'716.75 R._______ fr. 287'065.40 fr. 227'761.00 fr. 59'304.40 S._______ fr. 193'692.45 fr. 151'850.10 fr. 41'842.35 T._______ fr. 651'477.50 fr. 512'002.45 fr. 139'475.05 U._______ fr. 190'122.25 fr. 148'295.35 fr. 41'826.90 TOTALE fr. 1'475'615.60 fr. 1'159450.15 fr. 316'165.45 « C._______ » Gestore Imposta preventiva Ricorrente E._______ 78% 22% M._______ fr. 267'128.65 fr. 208'360.35 fr. 58'768.30 N._______ fr. 328'375.55 fr. 260'945.45 fr. 67'430.10 B._______ fr. 680'503.20 fr. 530'792.50 fr. 149'710.70 O._______ fr. 517'832.50 fr. 403'909.35 fr. 113'923.15 P._______ fr. 220'312.80 fr. 171'844.00 fr. 48'468.80 TOTALE fr. 2'014'152.70 fr. 1'575'851.65 fr. 438'301.05 Il ricorrente e il signor E._______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B._______(A-6692/2017)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gennaio 2008 al 30 novembre 2009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 e prima di lei, la DAPI -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E._______. Nel periodo fiscale dal 1° gennaio 2008 al 30 novembre 2009 la società avrebbe infatti rinunciato a loro favore ad una parte degli utili di sua spettanza, da lei conseguiti mediante l'attività dell'esercizio pubblico « C._______ », omettendo di contabilizzarla nei propri rendiconti (cfr. decisione impugnata, consid. 3.1.1).</w:t>
      </w:r>
    </w:p>
    <w:p>
      <w:r>
        <w:rPr>
          <w:b/>
        </w:rPr>
        <w:t>E. 7.1.1.2</w:t>
      </w:r>
    </w:p>
    <w:p>
      <w:r>
        <w:t>Più nel dettaglio, l'autorità inferiore ha innanzitutto constatato che le società coinvolte nella gestione della « F._______ » e del « C._______ » - tra cui anche la B._______ - avrebbero disposto solo di una contabilità di « facciata » stilata dal signor D._______,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considd. 3.1.1 e 3.1.2).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E._______. Essa ha infatti ritenuto che secondo le deposizioni dei gerenti e degli impiegati del « C._______ » e della « F._______ »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C._______ » presso l'ufficio del ricorrente e del signor E._______, da loro indicati quali persone di riferimento per le attività della « F._______ ». Nessuno, a parte il signor E._______ e il ricorrente, sarebbe stato presente al momento della suddivisione degli utili e della decisione del loro impiego. Sarebbero stati altresì costoro a scegliere i giustificativi che avrebbero poi consegnato al signor D._______ affinché li registrasse nella contabilità ufficiale delle società. Già per questo motivo, l'autorità inferiore - come la DAPI prima di lei - ha dunque considerato il ricorrente e il signor E._______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 Essa ha altresì tenuto conto del rapporto inusuale tra il ricorrente e le società che hanno gestito il postribolo e il bar (cfr. consid. 7.1.1.5 del presente giudizio).</w:t>
      </w:r>
    </w:p>
    <w:p>
      <w:r>
        <w:rPr>
          <w:b/>
        </w:rPr>
        <w:t>E. 7.1.1.3</w:t>
      </w:r>
    </w:p>
    <w:p>
      <w:r>
        <w:t>Più concretamente, l'autorità inferiore - e prima di lei la DAPI - si è fondata sulle prime deposizioni dell'8 marzo 2012 rilasciate dai signori D._______, L._______ e K._______, tutte concordanti tra di loro, dalle quali sarebbe risultato quanto segue (cfr. processi verbali d'interrogatorio [di seguito: PVI], in: Classificatore Interrogatori, di cui all'inc. AFC). L'8 marzo 2012, il signor D._______ ha dichiarato di aver ricevuto mandato di allestire la contabilità della B._______ dal ricorrente e il signor E._______ e che il suo compito era di registrare la documentazione di tutte le società a loro riconducibili (cfr. PVI D._______ dell'8 marzo 2012, pagg. 4 seg., 9 e 15). Il 20 marzo 2013, egli ha poi indicato, confermando pertanto quanto dichiarato da alcuni gerenti/responsabili delle attività della « F._______ », che al termine del turno serale i contanti venivano depositati in cassaforte in una busta con le relative pezze contabili e che la mattina seguente tale busta veniva portata in fiduciaria nell'ufficio del ricorrente e del signor E._______. Il signor D._______ trovava poi nella sua cassettina le fatture pagate e i giustificativi da inserire in contabilità. In tale occasione, egli ha altresì dichiarato che il ricorrente prendeva una parte delle azioni al portatore per garantirsi l'affitto delle società (cfr. PVI D._______ del 20 marzo 2013, pagg. 3 seg. e 9). Il 27 giugno 2013, egli ha poi confermato che 78 azioni al portatore erano detenute dal ricorrente per garantirsi l'affitto, mentre le restanti 22 azioni al portatore dal signor E._______ per garantirsi lo stipendio (cfr. PVI D._______ del 27 giugno 2013, pagg. 3-4). L'8 marzo 2012, il signor L._______ - amministratore unico di alcune società che gestivano la « F._______ », ma che di fatto si occupava solo della manutenzione dello stabile - ha dichiarato che l'incasso veniva depositato nella cassaforte del bar e che non sapeva cosa succedeva con i soldi successivamente ma che li prendevano il ricorrente e il signor E._______ (cfr. PVI L._______ dell'8 marzo 2012, pag. 3). L'8 marzo 2012, il signor K._______ - amministratore unico di alcune società che gestivano la « F._______ », ma che di fatto era il gerente/responsabile di tali attività - ha dichiarato che gli incassi venivano portati nell'ufficio del signor D._______ e consegnati a lui o al ricorrente o al signor E._______. Questi eseguivano poi tutta la parte amministrativa e cambiavano diverse società, circa ogni anno, anno e mezzo. Egli ha pure dichiarato di avere dei dubbi sull'irregolarità del loro modo di agire e per tale motiva ha tenuto i documenti anche se il signor E._______ e il ricorrente gli chiedevano continuamente di distruggerli. Per finire il signor K._______ ha pure indicato di presumere che il signor E._______ e il ricorrente fossero gli azionisti principali di tutte le società. Erano loro che comandavano e decidevano per le società e che chiedevano di ricevere tutti gli incassi del giorno precedente, mentre il signor D._______ era soltanto il contabile. Per finire egli ha indicato che la busta del bar e della residenza veniva consegnata al signor E._______ o al ricorrente, questi la aprivano e davano al signor D._______ solo i giustificativi di cassa e spese generali. A suo avviso inoltre, la persona che aveva più poteri era comunque il ricorrente, proprietario dell'immobile (cfr. PVI K._______ dell'8 marzo 2012, pagg. 3-5).</w:t>
      </w:r>
    </w:p>
    <w:p>
      <w:r>
        <w:rPr>
          <w:b/>
        </w:rPr>
        <w:t>E. 7.1.1.4</w:t>
      </w:r>
    </w:p>
    <w:p>
      <w:r>
        <w:t>Ad ulteriore comprova della tesi secondo cui il ricorrente sarebbe stato l'azionista - o perlomeno una persona vicina - e avrebbe beneficiato degli introiti delle società legati alle attività della « F._______ » e del « C._______ », l'autorità inferiore ha poi ritenuto che vi sarebbe altresì l'analisi della sua situazione patrimoniale, così come risultante dalla ricostruzione del suo patrimonio effettuata dalla DAPI per gli anni 2003-2011 contenuta nel « classificatore G._______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7.1.1.5</w:t>
      </w:r>
    </w:p>
    <w:p>
      <w:r>
        <w:t>In aggiunta a ciò, l'autorità inferiore ha precisato che, negli anni, il ricorrente avrebbe avuto dei rapporti inusuali con le società che gestivano la « F._______ » e il « C._______ » (cfr. PVF, punto n. 4.5). A titolo d'esempio, l'autorità inferiore indica che la data in cui il ricorrente avrebbe firmato molti documenti (tra cui ricevute d'affitto, contratti di locazione e conteggi d'energia elettrica) relativi alle attività della « F._______ » sarebbe di molto anteriore sia alla data di creazione del documento stesso (file created) che alla data di ultima scrittura (last written). Questo dimostrerebbe che tali documenti sarebbero stati creati tempo dopo e che vi era un rapporto di dominazione tra il ricorrente e le società che gestivano il postribolo. Nel suo reclamo, il ricorrente aveva indicato che di regola non era lui ad allestire i documenti perché non era in grado di usare il computer, salvo poi precisare che « se anche il reclamante ha allestito dei documenti, tipo delle ricevute/fatture postdatate o predatate, non lo ha fatto a scopo di inganno ». Il ricorrente avrebbe pure confermato che il pc portatile in questione si trovava presso la sua abitazione (cfr. atto DAPI n. 931.100.043;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E._______ e il qui ricorrente.</w:t>
      </w:r>
    </w:p>
    <w:p>
      <w:r>
        <w:rPr>
          <w:b/>
        </w:rPr>
        <w:t>E. 7.1.3</w:t>
      </w:r>
    </w:p>
    <w:p>
      <w:r>
        <w:t>Ciò sancito, per quanto concerne più specificamente la qualità di beneficiari delle prestazioni valutabili in denaro del ricorrente e del signor E._______,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E._______ quali beneficiari delle prestazioni erogate dalla B._______, nonché delle altre società interessate. Più nel dettaglio, a prescindere dalla questione a sapere se il ricorrente e il signor E._______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F._______ » e del « C._______ », così come risultante dal PVF del 15 giugno 2015. Se da un lato, il signor E._______ si occupava della gestione del personale, gestiva le liquidità e preparava le pezze contabili (cfr. PVF, punti n. 4.4.3 - 4.4.4), il ricorrente era indubbiamente il proprietario dello stabile dato in locazione alle varie società che si sono susseguite nella gestione della « F._______ » e del « C._______ » (cfr. PVF, punto n. 4.4.7). A ciò si aggiunge il fatto che era il ricorrente a fornire alle nuove società una parte dei beni necessari per l'esercizio di queste due attività, tramite la società V._______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E._______ e il ricorrente intrattenevano dei rapporti inusuali con le varie società (cfr. PVF, punto n. 4.5), così come rilevato dall'autorità inferiore (cfr. consid. 7.1.1.5 del presente giudizio).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C._______ » e della « F._______ », tramite la società V._______,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C._______ » e la « F._______ »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G._______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C._______ » e della « F._______ ». Dinanzi all'autorità inferiore, chiamato ad esprimersi al riguardo, il ricorrente si era limitato a contestare alcuni punti della ricostruzione del suo patrimonio contenuta nel « classificatore G._______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G._______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C._______ » e la « F._______ ».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E._______ e il signor D._______ all'epoca in cui è stato stilato il predetto PVF (nel 2015), non avevano ancora presentato tutte le loro dichiarazioni fiscali personali (il ricorrente e il signor E._______ dal 2010, il signor D._______ dal 2013; cfr. PVF, punto n. 1.1). Peraltro, che le società interessate abbiano tenuto una contabilità lacunosa è un fatto non contestato dal ricorrente (cfr. consid.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 « C._______ », la DAPI ha essenzialmente proceduto come segue. In primo luogo, per il periodo dal 2005 al 30 maggio 2011, essa ha determinato l'utile lordo sulla base della cifra d'affari risultante dall'inchiesta (totale dei ricavi), a cui ha poi dedotto i costi di acquisto accertati nell'ambito dell'inchiesta (costi acquisto). In seguito, essa ha aggiunto le distribuzioni dissimulate di utile derivanti da costi contabilizzati, ma economicamente non giustificati (distribuzione sup.), ottenendo così la distribuzione dissimulata di utile. Per il periodo a partire dal giugno 2011, la distribuzione dissimulata di utile è invece stata calcolata dalla DAPI deducendo ai presunti ricavi realizzati dalla società, i relativi costi (cfr. PVF, punto n. 3.2.3; decisione impugnata consid. 3.1.1). Nel caso specifico della B._______, l'autorità inferiore ha precisato che la DAPI avrebbe ricostruito la cifra d'affari per il 2008 e il 2009 secondo le seguenti modalità (cfr. circa i dettagli alla base della ricostruzione delle cifre d'affari non contabilizzate, PVF, punto n. 3.2, pagg. 17 - 25; decisione impugnata, consid. 3.1.1): dal 1 gennaio 2008 al 31 dicembre 2008 (cfr. atto DAPI n. 800.400.010): la cifra d'affari calcolata dalla DAPI ammonta a 1'512'103 franchi, mentre quella risultante dai rotoli di scontrini di cassa sequestrati durante le perquisizioni ammonta a 1'510'560.90 franchi. Vi ê quindi una differenza di 1'542.10 franchi che, a favore del ricorrente, non è stata presa in considerazione dall'autorità inferiore. Inoltre, per l'intero anno, non sono stati ritrovati gli scontrini di cassa relativi a 5 giorni lavorativi. L'autorità inferiore ha pure rinunciato, a favore del ricorrente, a calcolare tale cifra d'affari mancante per apprezzamento; dal 1° gennaio 2009 al 30 novembre 2009 (cfr. atto DAPI n. 800.400.011): tenendo presente che la B._______ ha operato fino al 30 novembre 2009, la cifra d'affari risultante dai rotoli di scontrini di cassa sequestrati durante le perquisizioni ammonta a 1'355'319 franchi. Per l'intero periodo non sono stati ritrovati gli scontrini di cassa relativi a 4 giorni lavorativi. L'autorità inferiore ha tuttavia rinunciato, a favore del ricorrente, a calcolare tale cifra d'affari mancante per apprezzamento; alle cifre d'affari summenzionate sono poi stati aggiunti i ricavi derivanti dal prezzo di entrata al « C._______ ». Infatti, secondo le dichiarazioni elencate nel PFV del 15 giugno 2015, nei periodi di massima affluenza, ossia dal gennaio 2008 al febbraio 2012, l'entrata al « C._______ » era a pagamento, il venerdì e il sabato sera. Tali ricavi, non risultando dagli scontrini di cassa sequestrati, sono stati stimati dalla DAPI come segue. Secondo le dichiarazioni, il prezzo d'entrata era di 15 franchi a persona, per una media di 80-120 persone a sera. Prudenzialmente la DAPI ha così stimato una media di 100 persone paganti a sera, per 8 serate paganti mensili, per un ammontare complessivo di 12'000 franchi mensili (= fr. 15 x 100 x 8). Nello specifico, alle cifre d'affari summenzionate sono stati aggiunti 144'000 franchi (= fr. 12'000 x 12) per l'anno 2008 e 132'000 franchi (= fr. 12'000 x 11) per l'anno 2009. L'autorità inferiore ha poi indicato che, per l'anno 2008 la cifra d'affari del « C._______ » da lei presa in considerazione ammonta a 1'654'560.90 (= fr. 1'510'560.40 + fr. 144'000), mentre per l'anno 2009 a 1'487'319 franchi (= fr. 1'355'319 + fr. 132'000). Da tale cifra d'affari sono poi stati dedotti i costi di acquisto merci, nonché l'utile lordo contabilizzato dalla B._______, risultanti dai rendiconti 2008 e 2009 da lei presentati all'autorità inferiore (cfr. PVF, punti n. 3.2.2.5, 3.2.2.6 e 3.2.3). Essa precisa poi che non sono invece stati dedotti dalla cifra d'affari per gli anni 2008-2009 i costi per 72'000 franchi (= fr. 36'000 + fr. 36'000), poiché considerati come economicamente non giustificati e dunque delle distribuzioni dissimulate di utile. Infatti, tali costi sono stati contabilizzati nel conto dei costi « pubblicità » in entrambi i periodi, malgrado fossero stati pagati a contanti e nessuna pezza contabile sia stata ritrovata in merito a spese effettivamente sostenute per costi pubblicitari (cfr. PVF, punti n. 3.2.2.5 e 3.2.2.6). In sunto, il calcolo dei ricavi non contabilizzati è il seguente: Ricavi 01.01 - 31.12.2008 fr. 1'654'560.90 Ricavi 01.01 - 30.11.2009 fr. 1'487'319.00 ./, Costi acquisto merce 2008 fr. 191'085.00 ./, Costi acquisto merce 2009 fr. 181'966.00 ./. Utile lordo contabilizzato 2008 fr. 484'781.00 ./. Utile lordo contabilizzato 2009 fr. 411'781.00 Totale ricavi non contabilizzati fr. 1'872'294.90 (recte fr. 1'872'266.90) Costi diversi senza giustificativi fr. 72'000.00 Totale distribuzione fr. 1'944'294.90 (recte fr. 1'944'266.90) Per finire, l'autorità inferiore ha precisato che benché, come indicato, la ripresa nel PVF del 15 giugno 2015 della DAPI risulti superiore di 1'542.10 franchi (cfr. PVF, punto n. 3.2.3), essa non ritiene necessario scostarsi da quanto previsto - tra l'altro in favore del ricorrente - nella sua prima decisione del 29 aprile 2016 (cfr. decisione impugnata, consid. 3.1.1). In tale contesto, l'autorità inferiore ha dunque ritenuto che durante il periodo fiscale dal 1° gennaio 2008 al 30 novembre 2009 la B._______ avrebbe erogato ai propri azionisti delle prestazioni valutabili in denaro nella forma di distribuzioni dissimulate di utile per un importo totale pari a 1'944'294.90 franchi (recte fr. 1'944'266.90; cfr. decisione impugnata, considd. 3.1.1 e 3.1.3).</w:t>
      </w:r>
    </w:p>
    <w:p>
      <w:r>
        <w:rPr>
          <w:b/>
        </w:rPr>
        <w:t>E. 7.3.2.1</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ripresa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gestione dell'esercizio pubblico nella « C._______ », detto elemento non essendo di per sé stato contestato dettagliatamente dal ricorrente a quel preciso momento. A suo tempo, il ricorrente si era infatti limitato a contestare in maniera generica l'esistenza dei ricavi non contabilizzati nonché il calcolo alla sua base. Più precisamente, il ricorrente si era limitato a ritenere la ricostruzione come approssimativa, censurando che il calcolo del numero di avventori sarebbe basato unicamente sulle dichiarazioni e che non vi sarebbero prove gli avventori dovessero pagare l'entrata. Sennonché - come già rilevato dal Tribunale (cfr. consid. 7.2 del presente giudizio) - viste le lacune nella contabilità della B._______ e l'impossibilità di entrare in possesso di pezze giustificative inequivocabili, l'autorità inferiore non poteva che procedere ad una tassazione d'ufficio per stima, come da lei giustamente indicato (cfr. decisione impugnata, consid. 3.1.2). In assenza di errori manifesti, la stima effettuata dall'autorità inferiore risulta dunque corretta. Dinanzi al Tribunale, nel suo ricorso 22 novembre 2017, il ricorrente - riferendosi invero per errore alla ricostruzione della cifra d'affari delle società che hanno gestito la « F._______ » - contesta nuovamente la stima dell'autorità inferiore, sollevandone l'arbitrarietà e sottolineando che l'autorità inferiore non avrebbe indicato in base a quale criteri sono stati scelti questi parametri (cfr. citato ricorso, pagg. 19 seg.). Sennonché, né con il suo ricorso, né con i suoi successivi allegati, il ricorrente ha prodotto documenti o giustificativi a sostegno delle sue allegazioni, rispettivamente indicato quali elementi sarebbero sbagliati e per quali motivi. In tali circostanze, come già sottolineato dal Tribunale (cfr. consid. 5.3 del presente giudizio), si deve dunque considerare che anche in questo caso si tratta di mere contestazioni di natura generale, non sostanziate da elementi probatori tali da mettere in dubbio la correttezza della ricostruzione delle cifre d'affari della DAPI, poi ripresa dall'autorità inferiore. Contrariamente a quanto ritenuto dal ricorrente, gli elementi su cui si fonda la ricostruzione delle cifre d'affari della B._______ per gli anni 2008 e 2009 - peraltro effettuata a favore del ricorrente - non risulta arbitraria. Come visto (cfr. consid. 7.3.1 del presente giudizio), gli elementi su cui essa è fondata, così come i calcoli alla base della ricostruzione, sono chiari ed esposti in maniera trasparente dall'autorità inferiore nella decisione impugnata (cfr. citata decisione, consid. 3.1.1): per ogni elemento considerato nella ricostruzione, l'autorità ha indicato il documento su cui essa si è fondata, rinviando altresì per i dettagli al PVF del 15 giugno 2015 della DAPI (cfr. PVF, punti n. 3.2.1 segg.).</w:t>
      </w:r>
    </w:p>
    <w:p>
      <w:r>
        <w:rPr>
          <w:b/>
        </w:rPr>
        <w:t>E. 7.3.2.2</w:t>
      </w:r>
    </w:p>
    <w:p>
      <w:r>
        <w:t>In tale frangente, in assenza altresì di errori manifesti, il Tribunale non intravvede di principio alcun valido motivo per attardarsi ulteriormente al riguardo e procedere ad un esame più approfondito della predetta ricostruzione delle prestazioni valutabili in denaro erogate dalla B._______, rispettivamente per discostarsene (cfr. consid. 6.5.2 del presente giudizio). Di fatto, il Tribunale ha però constatato un piccolo errore di calcolo dei ricavi non contabilizzati dalla società, conducente ad una differenza di 28 franchi a favore del ricorrente. Più concretamente, l'importo totale dei ricavi conseguiti e non contabilizzati dalla B._______ nel periodo fiscale dal 1° gennaio 2008 al 30 novembre 2009 - secondo i calcoli effettuati dall'autorità inferiore - ammonta invero a 1'944'266.90 franchi anziché a 1'944'294.90 franchi, come invece ritenuto dall'autorità inferiore (cfr. consid. 7.3.1 del presente giudizio). In tale frangente, l'importo totale dei ricavi ritenuto dall'autorità inferiore va dunque qui corretto e ridotto dal Tribunale a favore del ricorrente da 1'944'294.90 franchi a 1'944'266.90 franchi, con conseguente ammissione in misura davvero molto parziale del suo ricorso su questo punto. Spetterà poi all'autorità inferiore ricalcolare e ridurre la ripresa d'imposta preventiva per questo caso, tenuto conto dell'importo corretto di 1'944'266.90 franchi.</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E._______.</w:t>
      </w:r>
    </w:p>
    <w:p>
      <w:r>
        <w:rPr>
          <w:b/>
        </w:rPr>
        <w:t>E. 7.4.1.1</w:t>
      </w:r>
    </w:p>
    <w:p>
      <w:r>
        <w:t>Al riguardo, nella decisione impugnata, l'autorità inferiore ha indicato di non essere stata in grado di determinare esattamente quanto avrebbero incassato il ricorrente e il signor E._______,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C._______ » e della « F._______ » tra il 2005 e il 2012, la DAPI ha attribuito una quota del 22% al signor E._______ e una quota del 78% al ricorrente, per tutte le società coinvolte e dunque anche B._______. Questo dato si baserebbe in particolare sulle seguenti constatazioni. In data 8 marzo 2012 e 13 aprile 2012, la DAPI avrebbe constatato l'esistenza di 22 azioni detenute dal signor E._______ per le società O._______, T._______, S._______, B._______ (azioni sequestrate a casa sua) e Q._______ (azioni ritrovate in una cassetta di sicurezza di sua appartenenza (cfr. decisione impugnata, consid. 6.3.3). L'8 marzo 2012 e il 20 marzo 2013 il signor D._______ avrebbe dichiarato di essere solo l'amministratore unico di paglia di varie società, tra cui W._______, AA._______, forse Q._______, R._______, S._______, BB._______, M._______, N._______ e B._______. Egli avrebbe allestito la contabilità e compilato le dichiarazioni fiscali di tali società a seguito di mandati conferitegli dal ricorrente e il signor E._______, nonché registrato la contabilità in base ai giustificativi portatigli di regola dal signor E._______. Il signor D._______ ha pure dichiarato che il ricorrente avrebbe preso una parte delle azioni al portatore per garantirsi l'affitto delle società mentre il signor E._______ l'altra parte per garantirsi lo stipendio. In tali occasioni e soprattutto il 27 giugno 2013, il signor D._______ avrebbe altresì dichiarato che per ogni società coinvolta, 22 azioni sarebbero state detenute dal signor E._______ a titolo di garanzia dello stipendio, mentre le restanti 78 azioni dal ricorrente a titolo di garanzia del pagamento dell'affitto. Qualcuna sarebbe stata presa da lui e qualcuna conservata nell'incarto della società presso la fiduciaria. Dopo l'avvio dell'inchiesta, il signor CC._______ avrebbe ritirato le azioni. Egli ha pure indicato che « comunque le azioni era di A._______ », salvo poi correggersi che non sapeva se le azioni erano del ricorrente, ma che comunque erano da lui detenute a garanzia dell'affitto. Il signor D._______ ha pure precisato che il ruolo del signor CC._______ sarebbe stato solo quello di costituire le società e di occuparsi di consulenza e gestione esterna. Tale ripartizione avrebbe trovato poi conferma nelle analisi patrimoniali del signor E._______ e del ricorrente svolte dalla DAPI in rapporto ai redditi da loro conseguiti (cfr. decisione impugnata, consid. 6.3.3). In tale contesto, l'autorità inferiore ha poi sottolineato che dall'inchiesta condotta dalla DAPI relativa alle attività della « F._______ », sarebbe emerso che le azioni delle varie società coinvolte detenute dal signor CC._______ non avrebbero mai realmente appartenuto a quest'ultimo, bensì al ricorrente e al signor E._______. Di fatto, il signor CC._______ avrebbe funto unicamente da presta nome a beneficio del ricorrente e del signor E._______ che non desideravano essere ricollegati alle loro società. Egli, dietro compenso, avrebbe costituito delle società (all'epoca 30-40 società), delle quali spesso sarebbe risultato essere l'amministratore unico o azionista di facciata. Tuttavia, il signor CC._______ non avrebbe avuto nessun vero ruolo nella gestione della società, né tantomeno nella decisione dell'impiego degli utili correnti. Tale evenienza sarebbe stata confermata dal signor D._______ (cfr. decisione impugnata, consid. 6.3.3). Visto quanto precede, tenuto conto altresì della ricostruzione del patrimonio del ricorrente di cui al « classificatore G._______ » confermante la plausibilità di detta proporzione, l'autorità inferiore ha dunque deciso di prendere in considerazione la proporzione 78%-22% e di attribuire al ricorrente il 78% delle prestazioni valutabili in denaro e la parte restante 22% al signor E._______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E._______,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E._______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E._______ e in una cassetta di sicurezza, nonché sulle dichiarazioni del signor D._______ secondo cui il signor E._______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E._______ nella gestione del « C._______ » e della « F._______ », il Tribunale è di avviso che, in assenza di altri elementi circa il numero esatto di azioni detenute dalle persone interessate, la DAPI e l'autorità inferiore potevano partire dal presupposto ch'effettivamente il 22% era detenuto dal signor E._______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E._______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E._______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G._______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G._______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F._______ » e del « C._______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K._______ e J._______ (cfr. doc. E), come pure la sentenza della Corte di appello e di revisione penale ticinese del 29 novembre 2012 (cfr. doc. D), il contratto fiduciario/ di cessione delle azioni della M._______ (cfr. doc. F prodotto con replica nell'inc. A-6691/2017) e il contratto fiduciario/di cessione delle azioni della Q._______ (cfr. doc. E prodotto con ricorso nell'inc. A-6685/2017), smentirebbero quanto ritenuto dalla DAPI e dall'autorità inferiore, poggiatosi su una parte delle dichiarazioni dei signori D._______ e K._______,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F._______ » e del « C._______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I._______ (cfr. doc. I prodotto con replica nell'inc. A-6686/2017) e la perizia H._______ (cfr. doc. L prodotto con replica nell'inc. A-6686/2017). Più concretamente, a mente del ricorrente, il parere I._______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 6 segg.). Quanto a lei, la perizia H._______ smentirebbe invece la ricostruzione patrimoniale del ricorrente effettuata dalla DAPI nel cosiddetto « classificatore G._______ » (cfr. replica 30 luglio 2018, pagg. 8 segg.). Ad ulteriore comprova di quanto precede, il ricorrente ha postulato a più riprese l'allestimento da parte del Tribunale di una perizia fiscale e l'audizione di vari testi (arch. Gianfranco Cavadini, consulente bancario Giorgio Pinchetti, avv. Mirko Magetti, avv. Filippo Gianoni, ecc.; cfr. ricorso 22 novembre 2017, pagg. 22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K._______ dell'8 marzo 2012 e tutte quelle del signor D._______,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D._______,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CC._______, D._______, DD._______ e K._______,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e 22; replica 30 luglio 2018, pagg. 5-8; triplica 12 dicembre 2018, pagg. 2, 6 e 23 seg.).</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E._______ erano coloro che gestivano le due attività di affittacamere e di bar per il tramite delle società: il ricorrente lo stabile ove aveva luogo la prostituzione e l'adescamento dei clienti, il signor E._______ il personale attivo in detto stabile. Alcuni di loro, hanno peraltro indicato di presumere che gli azionisti fossero il ricorrente e il signor E._______ (cfr. PVI K._______ dell'8 marzo 2012, pag. 3; PVI CC._______ dell'8 marzo 2012, pagg. 4 e 6; PVI D._______ dell'8 marzo 2012, pag. 4), rispettivamente ch'essi incassavano i ricavi (cfr. PVI L._______ dell'8 marzo 2012, pag. 3). Un teste, ha persino indicato di ritenere il ricorrente quale persona di riferimento (cfr. PVI EE._______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Q._______, l'autorità inferiore aveva motivo di ritenere che il signor CC._______, detentore delle azioni di detta società, fosse un « prestanome » (cfr. decisione impugnata, consid. 6.3.3; consid. 7.4.1.2 del presente giudizio), ciò a prescindere da quanto risultante dal doc. E prodotto con ricorso dal ricorrente nell'inc. A-6685/2017 - la cui attendibilità non è però chiara, vista l'assenza delle firme dei diretti interessati - circa i possessori delle azioni al portatore. Analogo discorso vale per quanto concerne il doc. F prodotto con replica dal ricorrente nell'inc. A-6691/2017, sulla base del quale quest'ultimo ritiene che le azioni della M._______ sarebbero relegabili ai signori D._______ e E._______. In tale contesto, che la sentenza della Corte di appello e di revisione penale ticinese del 29 novembre 2012 citata dal ricorrente (cfr. doc. D del ricorrente) designi o meno quali azionisti o organi di fatto delle società che hanno gestito la « F._______ » e il « C._______ » i signori L._______, K._______ e D._______,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K._______.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K._______ che in un primo momento ha dichiarato di presumere che erano il signor E._______ e il ricorrente gli azionisti della B._______ e delle altre società (cfr. PVI K._______ dell'8 marzo 2012, pagg. 3 e 5): « [...] Avevo dei dubbi, non sono sorpreso, proprio per questo motivo ho tenuto i documenti. E anche il fatto che loro (preciso E._______ e A._______) mi chiedevano continuamente di distruggere i documenti. Loro (preciso E._______ e A._______, presumo sono i due azionisti principali delle società (di tutte le società), ma non ne ho le prove) sono sempre stati al corrente che io ero in possesso dei documenti. Erano E._______ e A._______ che comandavano e decidevano per le società. Preciso che non so se vi fossero altri azionisti. Io presumo fossero loro gli azionisti perché parlavo sempre con loro. Le decisioni di assumere o licenziare personale erano prese da E._______ e A._______ [...] A._______ gli ha chiesto se i documenti relativi alle varie società fossero stati eliminati ed era preoccupato per questo [...]. Non sa se esiste contabilità doppia o in nero. Faceva tutto D._______ [...] Presumo E._______ e A._______, così pure per le altre società, perché erano loro che decidevano e davano gli ordini. Decidevano anche gli stipendi. Ci sono due camerieri che erano lì da una vita e possono confermare quando sto dicendo ([...]) [...] ». Successivamente, il signor K._______ ha poi riconsiderato tale affermazione a favore del ricorrente (cfr. PVI K._______ del 21 febbraio 2013, pagg. 2 e 4): « [...] Non so chi fossero gli azionisti. Ho parlato con D._______ e E._______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E._______ nell'ufficio di D._______. Se E._______ non era in ufficio io consegnavo questa busta a D._______. La busta era sigillata. Non capitava mai che in ufficio ci fosse solo A._______. Non ho mai dato buste relative all'incasso a A._______. Per contro ho consegnato buste di corrispondenza a A._______ o buste non contenenti soldi provenienti da D._______. D._______ sapeva che A._______ era spesso allo stabile F._______ e quindi era più probabile che lo incontrassi io per consegnargli i documenti [...] ». Ciò, si è pure verificato nel caso del signor CC._______ che in un primo tempo ha indicato, per sentito dire, che gli azionisti fossero il ricorrente e il signor E._______ (cfr. PVI CC._______ dell'8 marzo 2012, pagg. 4, 6 e 8; PVI CC._______ del 27 giugno 2013, pag. 4), per poi indicare a distanza di ben due anni di escludere che le azioni da lui ritrovate appartenessero al ricorrente e al signor E._______ (cfr. PVI CC._______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E._______.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K._______ e J._______ prodotte in sede ricorsuale dal ricorrente (cfr. doc. E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22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[cfr. sentenza del TAF A-6685/2017 del 12 maggio 2021 consid. 10, avente lo stesso contenuto].</w:t>
      </w:r>
    </w:p>
    <w:p>
      <w:r>
        <w:rPr>
          <w:b/>
        </w:rPr>
        <w:t>E. 11</w:t>
      </w:r>
    </w:p>
    <w:p>
      <w:r>
        <w:t>Visto tutto quanto suesposto, il Tribunale giunge dunque alla conclusione che sulla base di tutti gli elementi agli atti - segnatamente, delle testimonianze (cfr. consid. 9 del presente giudizio) e della ricostruzione del patrimonio del ricorrente di cui al « classificatore G._______ » (cfr. consid. 10 del presente giudizio) - l'autorità inferiore (e prima di lei, la DAPI) poteva considerare il ricorrente quale beneficiario delle prestazioni imponibili in oggetto, e meglio delle prestazioni valutabili in denaro erogate dalla B._______ nel periodo fiscale dal 1° gennaio 2007 al 31 dicembre 2007, così come ricostruite da detta autorità (cfr. consid. 7.3.1 del presente giudizio) e leggermente corrette dal Tribunale, tenuto conto di un piccolo errore di calcolo (cfr. consid. 7.3.2.2 del presente giudizio). Il ricorrente non è infatti riuscito ad apportare la controprova di quanto sostenuto dall'autorità inferiore, sicché su questo punto il suo ricorso va pertanto respinto.</w:t>
      </w:r>
    </w:p>
    <w:p>
      <w:r>
        <w:rPr>
          <w:b/>
        </w:rPr>
        <w:t>E. 12</w:t>
      </w:r>
    </w:p>
    <w:p>
      <w:r>
        <w:t>Ciò sancito, da ultimo, rimane da esaminare se quanto asserito dal ricorrente è tale da far ritenere che è a torto che l'autorità inferiore ha attribuito al ricorrente il 78% delle prestazioni valutabili in denaro della B._______.</w:t>
      </w:r>
    </w:p>
    <w:p>
      <w:r>
        <w:rPr>
          <w:b/>
        </w:rPr>
        <w:t>E. 12.1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pagg. 7, 15-16 e 19 segg.; replica 30 luglio 2018, pag. 22; triplica 12 dicembre 2018, pag. 25). A comprova di ciò sottolinea ad esempio il fatto che il signor E._______ sarebbe azionista al 100% della società M._______, come risultante dal doc. F prodotto con replica nell'inc. A-6691/2017 (cfr. replica 30 luglio 2018, pag. 6; triplica 12 dicembre 2018, pag. 24). Il ricorrente sottolinea altresì che, per stessa ammissione dell'autorità inferiore, solo il signor E._______ sarebbe stato trovato in possesso di certificati azionari di azioni al portatore, ovvero di 22 azioni di tutte le società che hanno gestito la « F._______ » e il « C._______ ». Le rimanenti 78 azioni non sarebbero mai state ritrovate. In ogni caso, il ricorrente indica di non sapere dove esse siano, in quanto lui non sarebbe mai stato titolare di tali azioni, come del resto dichiarato anche dal signor D._______ nel PVI dell'11 dicembre 2014 (cfr. ricorso 22 novembre 2017, pagg. 21 segg.)</w:t>
      </w:r>
    </w:p>
    <w:p>
      <w:r>
        <w:rPr>
          <w:b/>
        </w:rPr>
        <w:t>E. 12.2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E._______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E._______ appare qui adeguato, ciò a prescindere dalla questione a sapere chi siano gli azionisti delle società interessate. Poco importa dunque la questione a sapere se nel caso della società M._______ il signor E._______ fosse o meno azionista al 100%, come sostenuto dal ricorrente. Analogo discorso vale per quanto concerne l'asserzione secondo cui solo il signor E._______ sarebbe stato ritrovato in possesso di 22 azioni delle varie società.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w:t>
      </w:r>
    </w:p>
    <w:p>
      <w:r>
        <w:rPr>
          <w:b/>
        </w:rPr>
        <w:t>E. 13</w:t>
      </w:r>
    </w:p>
    <w:p>
      <w:r>
        <w:t>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E._______,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E._______ e il ricorrente, così come giustamente rilevato dall'autorità inferiore.</w:t>
      </w:r>
    </w:p>
    <w:p>
      <w:r>
        <w:rPr>
          <w:b/>
        </w:rPr>
        <w:t>E. 14</w:t>
      </w:r>
    </w:p>
    <w:p>
      <w:r>
        <w:t>In definitiva, alla luce dei considerandi che precedono, il Tribunale giunge alla conclusione che il ricorso del ricorrente, per quanto qui ricevibile (cfr. consid. 3.2 del presente giudizio), va accolto in maniera molto parziale ai sensi del consid. 7.3.2.2. Per il resto, il ricorso va invece respinto.</w:t>
      </w:r>
    </w:p>
    <w:p>
      <w:r>
        <w:rPr>
          <w:b/>
        </w:rPr>
        <w:t>E. 15.1</w:t>
      </w:r>
    </w:p>
    <w:p>
      <w:r>
        <w:t>In considerazione dell'esito della lite, giusta l'art. 63 cpv. 1 PA, le spese di procedura qui fissate a 12'500 franchi andrebbero di principio poste a carico del ricorrente qui parte soccombente in larga misura (cfr. art. 1 segg. del regolamento del 21 febbraio 2008 sulle tasse e sulle spese ripetibili nelle cause dinanzi al Tribunale amministrativo federale [TS-TAF, RS 173.320.2]). Il suo ricorso è infatti stato accolto solo in maniera meramente parziale, a causa di un piccolo errore di calcolo (cfr. consid. 7.3.2.2 del presente giudizio).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15.2</w:t>
      </w:r>
    </w:p>
    <w:p>
      <w:r>
        <w:t>Visto l'esito del ricorso,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