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A-6684/2010 vom 4. Juli 2011</w:t>
      </w:r>
    </w:p>
    <w:p>
      <w:r>
        <w:t>Bundesverwaltungsgericht, 2011-07-04, DE</w:t>
      </w:r>
    </w:p>
    <w:p>
      <w:r>
        <w:rPr>
          <w:b/>
        </w:rPr>
        <w:t xml:space="preserve">Quelle: </w:t>
      </w:r>
      <w:r>
        <w:t>https://mcp.opencaselaw.ch/entscheid/bvger_A-6684_2010</w:t>
      </w:r>
    </w:p>
    <w:p>
      <w:r>
        <w:t>FR: TAF A-6684/2010 du 4 juillet 2011</w:t>
      </w:r>
    </w:p>
    <w:p>
      <w:r>
        <w:t>IT: TAF A-6684/2010 del 4 luglio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Der Beschwerdeführer erfüllt die Voraussetzungen der Be­schwerdebefugnis nach Art. 48 Abs. 1 VwVG.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w:t>
      </w:r>
    </w:p>
    <w:p>
      <w:r>
        <w:t>Im Rechtsmittelverfahren kommt - wenn auch in sehr abge­schwäch­ter Form (Moser/Beusch/Kneubühler, a.a.O., Rz. 1.55) - das Rüge­prinzip mit Begründungserfordernis in dem Sinn zur Anwendung, dass die Beschwerdeführenden die ihre Rügen stützenden Tatsachen darzulegen und allfällige Beweismittel einzureichen haben (Art. 52 Abs. 1 VwVG; Christoph Auer, in: Auer/Müller/Schindler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(Urteil des Bundes­verwal­tungsgerichts A-6053/2010 vom 10. Januar 2011 E. 1.4; Moser/Beusch/Kneubühler, a.a.O., Rz. 1.55). 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 USA wahrgenommen. An der dort festgeschriebenen Verfahrensord­nung ändert der Staatsvertrag 10 grundsätzlich nichts (Urteile des Bundesver­waltungsgerichts A-4911/2010 vom 30. Novem­ber 2010 E. 1.4.2, A-4013/2010 vom 15. Ju­li 2010 E. 2.1 und E. 6.2.2 [Letztere auch in BVGE 2010/40]).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 6053/2010 vom 10. Januar 2011 E. 1.5 und A-4911/2010 vom 30. November 2010 E. 1.4.2).</w:t>
      </w:r>
    </w:p>
    <w:p>
      <w:r>
        <w:rPr>
          <w:b/>
        </w:rPr>
        <w:t>E. 2</w:t>
      </w:r>
    </w:p>
    <w:p>
      <w:r>
        <w:t>Korrespondenzen und Mitteilungen zwischen der UBS AG und ihren amerikanischen Kunden oder zwischen UBS-Kunden untereinander sowie, wenn vorhanden, deren verbundenen juristischen Personen;</w:t>
      </w:r>
    </w:p>
    <w:p>
      <w:r>
        <w:rPr>
          <w:b/>
        </w:rPr>
        <w:t>E. 2.1</w:t>
      </w:r>
    </w:p>
    <w:p>
      <w:r>
        <w:t>Beim Staatsvertrag 10 handelt es sich um einen selbständigen völker­rechtlichen Vertrag und nicht - wie noch beim Abkommen 09 - um eine Verständigungsvereinbarung, die sich innerhalb des vom DBA-USA 96 gesteckten Rahmens bewegen muss. Der Staats­vertrag 10 steht mit dem DBA-USA 96 auf gleicher Stufe ([anstelle zahlreicher] Urteil des Bundesverwaltungsgerichts A-6053/2010 vom 10. Januar 2011 E. 4; BVGE 2010/40 E. 6.2.2). Da beide Verträge zwischen den gleichen Parteien geschlossen worden sind, handelt es sich um einen Fall von Art. 30 Abs. 3 der Wiener Kon­vention über das Recht der Verträge vom 23. Mai 1969 (SR 0.111, VRK; für die Schweiz seit 6. Juni 1990 in Kraft), dem­gemäss der frühere Vertrag nur insoweit Anwendung findet, als er mit dem späteren Vertrag vereinbar ist (lex posterior-Regel). Überdies präzisiert Art. 7a des Staatsvertrags 10, dass dieser zum Zweck der Behandlung des vorliegenden Amtshilfe­gesuchs (nämlich demjenigen des IRS vom 31. August 2009) Vorrang vor dem DBA-USA 96 sowie der Verein­barung 03 habe, sofern er diesen zuwiderlaufe. Demgemäss hat der Staatsvertrag 10 auch nach Art. 30 Abs. 2 VRK Vorrang gegenüber den älteren Verträgen, soweit das genannte Amtshilfegesuch betroffen ist (anstelle zahlreicher] Urteil des Bun­desver­waltungsgerichts A-6053/2010 vom 10. Januar 2011 E. 4; BVGE 2010/40 E. 6.2.2). Zugleich wird jedoch auf das DBA-USA 96 Bezug ge­nommen, was verdeutlicht, dass dieses an­wendbar ist, sofern der Staats­vertrag 10 keine abweichenden Bestim­mungen enthält. Solches gilt beispielsweise für das Verfahren: An­wendbar bleibt - soweit der Staatsvertrag 10 keine spezielleren Be­stimmungen enthält - die sich auf das DBA-USA 96 stützende Vo DBA-USA, was sich im Übrigen auch aus Art. 1 Ziff. 2 des Staats­vertrags 10 ergibt ([anstelle zahlreicher] Urteile des Bundesverwaltungsgerichts A 6053/2010 vom 10. Januar 2011 E. 4 und A-4911/2010 vom 30. No­vem­ber 2010 E. 3, vgl. auch bereits Urteil des Bundesverwaltungs­gerichts A-4013/2010 vom 15. Juli 2010 E 2.1 ff.).</w:t>
      </w:r>
    </w:p>
    <w:p>
      <w:r>
        <w:rPr>
          <w:b/>
        </w:rPr>
        <w:t>E. 2.2</w:t>
      </w:r>
    </w:p>
    <w:p>
      <w:r>
        <w:t>Gemäss Art. 26 DBA-USA 96 tauschen die zuständigen Behörden diejenigen Auskünfte aus, die notwendig sind für die Verhütung von Betrugsdelikten und dergleichen. Mit dem Staatsvertrag 10 hat sich die Schweiz gegenüber den USA verpflichtet, auch in Fällen von schwerer Steuerhinterziehung Amtshilfe zu leisten bzw. Informationsaustausch zu bieten (Urteil des Bundesverwaltungsgerichts A-4013/2013 vom 15. Juli 2010 E. 8.1; teilweise veröffentlicht in BVGE 2010/40). Damit umfasst der Ausdruck «Betrugsdelikte und dergleichen» in Art. 26 DBA-USA 96 für den Informationsaustausch gemäss dem Staatsvertrag 10 auch die schwere Steuerhinterziehung, sofern die Kriterien im Anhang zum Staatsvertrag 10 in Ziff. 2 Bst. A/b und Bst. B/b erfüllt sind. Die dabei geltenden Grundsätze finden folglich gleichermassen Anwendung auf die im Anhang zum Staatsvertrag 10 vorgesehenen Fälle der schweren Steuerhinterziehung.</w:t>
      </w:r>
    </w:p>
    <w:p>
      <w:r>
        <w:rPr>
          <w:b/>
        </w:rPr>
        <w:t>E. 2.3</w:t>
      </w:r>
    </w:p>
    <w:p>
      <w:r>
        <w:t>Im Amtshilfeverfahren gilt der Verhältnismässigkeitsgrundsatz (Urteil des Bundesverwaltungsgerichts A-6930/2010 vom 9. März 2011 E. 6.1 mit weiteren Hinweisen, Urteil des Bundesverwaltungsgerichts A 6638/2010 vom 9. Mai 2011 E. 6.2). Dies bedeutet für den Umfang der Amts- und Rechtshilfe zum einen, dass die ersuchte Behörde nicht über das Rechts- oder Amtshilfeersuchen hinausgehen darf. Dabei ist sie allerdings nicht an den Wortlaut des Ersuchens gebunden, sondern hat dieses in dem Sinn auszulegen, der ihm sinnvollerweise zugeschrieben werden kann. Nach der bundesgerichtlichen Praxis spricht nichts gegen eine weite Auslegung des Ersuchens, wenn sämtliche Voraussetzungen zur Gewährung von Rechtshilfe erfüllt sind und auf diese Weise allfällige Nachtragsersuchen vermieden werden können (BGE 121 II 241 E. 3a; Urteil des Bundesgerichts 1A.269/2005 vom 2. Dezember 2005 E. 4). Es dürfen daher unter Umständen selbst Informationen und Dokumente übermittelt werden, welche im Ersuchen nicht ausdrücklich erwähnt wor­den sind (BGE 121 II 241 E. 3b; Urteil des Bundesverwaltungsgerichts A 6933/2010 vom 17. März 2011 E. 10.1). Zum andern müssen die angeordneten Massnahmen für das ausländi­sche Verfahren erforderlich erscheinen. Dabei darf die ersuchte Behörde jedoch nicht ihr Ermessen an die Stelle desjenigen der ersuchenden Be­hörde stellen (BGE 121 II 241 E. 3a). Gemäss Rechtsprechung genügt daher die potentielle Erheblichkeit der angeordneten Massnahmen. Den ausländischen Behörden sind diejenigen Informationen zu übermitteln, die sich möglicherweise auf den im Rechts- oder Amtshilfeersuchen dargestellten Sachverhalt beziehen können. Nicht zu übermitteln sind nur diejenigen Akten, die für das ausländische Verfahren mit Sicherheit nicht erheblich sind (BGE 127 II 142 E. 5a; 122 II 367 E. 2c; Urteile des Bundesgerichts 1A.7/2007 vom 3. Juli 2007 E. 7.2; 1A.269/2005 vom 2. Dezember 2005 E. 4; Urteile des Bundesverwaltungsgerichts A-6705/2010 vom 18. April 2011 E. 6.2.1; A-6933/2010 vom 17. März 2011 E. 10.2).</w:t>
      </w:r>
    </w:p>
    <w:p>
      <w:r>
        <w:rPr>
          <w:b/>
        </w:rPr>
        <w:t>E. 2.4.1</w:t>
      </w:r>
    </w:p>
    <w:p>
      <w:r>
        <w:t>Namen und Angaben zu Dritten sollen also (nur) dann nicht an den IRS übermittelt werden, wenn diese offensichtlich nichts mit den vorgeworfenen Handlungen zu tun haben bzw. es sich um einen sog. unbeteiligten Dritten handelt (Urteile des Bundesverwaltungsgerichts A-6932/2010 vom 27. April 2011 E. 6.2.1, A-7011/2010 vom 19. Mai 2011 E. 4 mit weiteren Hinweisen). Zwar enthalten weder der Staatsvertrag 10 noch das DBA-USA 96 noch die Vo DBA-USA explizite Bestimmungen, wer als «un­beteiligter Dritter» gilt. Gemäss bundesgerichtlicher Rechtsprechung können aber die einschlägigen Grundsätze über die internationale Rechtshilfe auch beim Informations­austausch nach Art. 26 DBA-USA 96 herangezogen werden ([anstelle zahlreicher] Urteil des Bundesgerichts 2A.608/2005 vom 10. August 2006 E. 3). Dies entspricht denn auch ständiger Praxis und erscheint ange­sichts des vergleichbaren Zwecks von Amts- und Rechtshilfeverfahren als sachgerecht. Das Bundesverwaltungsgericht hat keinen Anlass, diese Rechtsprechung in Frage zu stellen (Urteil des Bundesverwaltungsgerichts A-6176/2010 vom 18. Januar 2011 E. 2.4.1 f.; BVGE 2010/40 E. 7.2.1).</w:t>
      </w:r>
    </w:p>
    <w:p>
      <w:r>
        <w:rPr>
          <w:b/>
        </w:rPr>
        <w:t>E. 2.4.2</w:t>
      </w:r>
    </w:p>
    <w:p>
      <w:r>
        <w:t>Unbeteiligter Dritter im Sinne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Sinne anzusehen ist (BGE 120 Ib 251 E. 5b, 112 Ib 462 E. 2b, 107 Ib 252 E. 2b; Urteil des Bundesgerichts 2A.430/2005 vom 12. April 2006 E. 6.1). Der Inhaber eines Bankkontos, welches für verdächtige Transaktionen benutzt wurde, ist mithin nicht als unbeteiligter Dritter zu qualifizieren (BGE 120 Ib 251 E. 5b). Weiter entschied das Bundesgericht, dass auch eine Gesellschaft, welche als Mittlerin benutzt wurde, um einer anderen Gesellschaft Gelder zur Verfügung zu stellen, die dazu bestimmt waren, die im Rechtshilfegesuch erwähnte Straftat zu be­gehen oder zu ermögli­chen, nicht als unbeteiligte Dritte betrachtet werden könne. Das Gleiche gelte für die eine solche Gesellschaft beherrschenden oder leitenden natürlichen Personen (BGE 112 Ib 462 E. 2b, 107 Ib 258 E. 2c, Urteil des Bundesgerichts 1A.60/2000 vom 22. Juni 2000 E. 4c; vgl. auch Christoph Peter, Zum Schicksal des echten «unbeteiligten Dritten» in der Strafrechts- und Amtshilfe, in Rechtliche Rahmenbedingungen des Wirtschaftsstandortes Schweiz, Festschrift 25 Jahre juristische Abschlüsse an der Universität St. Gallen [HSG], St. Gallen 2007, S. 671). Dies muss nach dem Ausgeführten auch für die Amtshilfe gelten (Urteile des Bundesverwaltungsgerichts A-6930/2010 vom 9. März 2011 E. 6.1, A 6176/2010 vom 18. Januar 2011 E. 2.4.3, A-7011/2010 vom 19. Mai 2011 E. 4.1).</w:t>
      </w:r>
    </w:p>
    <w:p>
      <w:r>
        <w:rPr>
          <w:b/>
        </w:rPr>
        <w:t>E. 2.4.3</w:t>
      </w:r>
    </w:p>
    <w:p>
      <w:r>
        <w:t>Wird die Anonymisierung von an sich vom Amtshilfeersuchen umfassten Daten verlangt, so genügt es grundsätzlich nicht, pauschal vorzubringen, bei den in den Kontounterlagen auftauchenden Namen handle es sich um solche unbeteiligter Dritter. Ist nämlich nicht von vornherein zweifelsfrei ersichtlich, dass die Daten nichts mit dem Amtshilfeersuchen zu tun haben, müssen die Beschwerdeführenden bei jedem einzelnen Aktenstück, das nach ihrer Auffassung von der Übermittlung auszuschliessen ist, bezeichnen und im Einzelnen darlegen, weshalb dieses im ausländischen Verfahren nicht erheblich sein kann (Urteil des Bundesverwaltungsgerichts A-6933/2010 vom 17. März 2011 E. 10.5).</w:t>
      </w:r>
    </w:p>
    <w:p>
      <w:r>
        <w:rPr>
          <w:b/>
        </w:rPr>
        <w:t>E. 2.5</w:t>
      </w:r>
    </w:p>
    <w:p>
      <w:r>
        <w:t>Gemäss dem vom IRS am 31. August 2009 gestellten Amtshilfeersu­chen werden, in Papier- oder elektronischer Form, die folgenden Doku­mente verlangt: 1. Kontoinformationen (einschliesslich der Angaben über die Kontoeröff­nung, Unterschriftenkarten, Kontostände, Dokumente über die Organi­sation von Körperschaften, wie Gründungsdokumente oder andere Un­terlagen zum Nachweis der wirtschaftlichen Berechtigung) von ameri­kanischen UBS-Kunden und ihrer verbundenen juristischen Personen;</w:t>
      </w:r>
    </w:p>
    <w:p>
      <w:r>
        <w:rPr>
          <w:b/>
        </w:rPr>
        <w:t>E. 3</w:t>
      </w:r>
    </w:p>
    <w:p>
      <w:r>
        <w:t>interne Daten aus dem Managementinformationssystem betreffend amerikanische UBS-Kunden und, wenn vorhanden, mit ihnen verbun­dene juristische Personen;</w:t>
      </w:r>
    </w:p>
    <w:p>
      <w:r>
        <w:rPr>
          <w:b/>
        </w:rPr>
        <w:t>E. 3.1.1</w:t>
      </w:r>
    </w:p>
    <w:p>
      <w:r>
        <w:t>Der Beschwerdeführer bestreitet in seinem Fall das Vorliegen der Identifikations- und der Kontokriterien der Kategorie 2/A/b des Anhangs zum Staatsvertrag 10 nicht und beantragt auch nicht das Unterlassen der Amtshilfeleistung betreffend sein UBS-Konto. Er macht jedoch geltend, dass insoweit Namen und andere Angaben von Dritten weitergleitet würden, sich die Verfügung der ESTV als gesetzeswidrig und unverhältnismässig erweise und diesbezüglich aufzuheben sei. Dies begründet er im Wesentlichen damit, dass Gegenstand der Amtshilfe einzig die Angaben zu den erzielten Einkünften auf dem UBS-Konto sei und diese immer noch ersichtlich wären, wenn sämtliche Namen und Angaben von Dritten bei den zu überliefernden Dokumenten abgedeckt würden. Da die Schlussverfügung der ESTV aber auch vorsehe, Dokumente mit Angaben und Namen von Dritten an den IRS weiterzuleiten, würde sich diese eines schärferen Zwangsmittels bedienen, als es die Verhältnisse erfordern würden und damit gegen den Grundsatz der Verhältnismässigkeit gemäss Art. 42 VwVG verstossen. Des Weiteren würde Art. 26 DBA USA 96 einzig im Fall von Steuerbetrug vorsehen bzw. erlauben, die Namen und Angaben von Dritten im Rahmen des Informationsaustausches an die ausländische Behörde zu übermitteln. In allen anderen Fällen seien die Namen und Angaben von Dritten zwingend zu anonymisieren. Ferner sei bei einem Fall von Steuerhinterziehung der persönliche Geltungsbereich des DBA-USA 96 zu beachten. Damit würden Namen von Personen, die nicht unter den persönlichen Anwendungsbereich des Abkommens fallen würden bzw. nicht in einem der beiden Vertragsstaaten ansässig seien, nicht offengelegt werden dürfen. Im Fall der Weiterleitung von Namen und Angaben von Dritten, ohne dass diesen Gelegenheit geboten werde, dazu Stellung zu nehmen, bedeute dies zudem einen schweren Verstoss gegen das rechtliche Gehör und die Verfahrensrechte der betroffenen Dritten. Der Beschwerdeführer verweist auf die Beschwerdebeilage «Drittpersonen zu Anonymisierende Liste», welche die Dokumente aufführt auf denen Namen und Angaben von Dritten zu anonymisieren seien. Ausführend dazu bringt er vor, dass die ESTV zwar in ihrer Schlussverfügung unter E. 5c die Namen und Angaben zu seinen Familienmitgliedern auf den Dokumenten mit den Paginiernummern [...] ff. als abdeckungswürdig qualifiziere, die Namen und Angaben zu den gleichen Personen auf den anderweitigen Unterlagen in seinem Dossier jedoch nicht. Die Namen und Angaben zu seinen Familienangehörigen seien Teil der durch Art. 8 der Konvention vom 4. November 1950 zum Schutze der Menschenrechte und Grundfreiheiten (EMRK, SR 0.101) geschützten Privatsphäre. Dieser Schutz sei unteilbar und es mache keinen Sinn, nur in einem Teil der Dokumente die Namen und Angaben zu seinen Familienmitgliedern abzudecken, wenn diese anderweitig immer noch ersichtlich seien. Geschützt durch Art. 8 EMRK seien ebenfalls die Vermögensverhältnisse der betroffenen Familienangehörigen. Dementsprechend seien die Namen der Gesellschaften X.________ und Y.________, deren Aktien sich im Eigentum seiner beiden Söhne befinden würden, auf den zu übermittelnden Dokumenten abzudecken. Wohl würde mit dem Amtshilfeverfahren basierend auf den Staatsvertrag 10 in seine Privatsphäre gemäss Art. 8 EMRK eingegriffen; dieser Eingriff müsse aber verhältnismässig sein und dürfe diese nicht mehr als nötig verletzen. Vorliegend sei die Übermittlung von abgedeckten Dokumenten eindeutig zwecktauglich, um die Einkünfte seines UBS-Kontos zweifelsfrei, vollständig und lückenlos dem IRS offen zu legen. Um zu erreichen, dass die behördliche Massnahme ihn möglichst schont, seien Namen und andere Angaben zu Drittpersonen auf den zu übermittelnden Dokumenten zwingend abzudecken.</w:t>
      </w:r>
    </w:p>
    <w:p>
      <w:r>
        <w:rPr>
          <w:b/>
        </w:rPr>
        <w:t>E. 3.1.2</w:t>
      </w:r>
    </w:p>
    <w:p>
      <w:r>
        <w:t>In gleicher Sache hebt der Beschwerdeführer folgende Kontounterlagen spezifisch hervor: - Bei den Dokumenten mit den Paginiernummern [...] und [...] handle es sich um Bankunterlagen, die das Konto seines Sohnes (C._______) betreffen würden und diese seien deshalb als Ganzes abzudecken bzw. nicht zu übermitteln. - Die auf den Dokumenten mit den Paginiernummern [...], [...] und [...] enthaltenen Angaben zu Drittbanken seien zu anonymisieren, da diese nicht vom Staatsvertrag 10 erfasst würden.</w:t>
      </w:r>
    </w:p>
    <w:p>
      <w:r>
        <w:rPr>
          <w:b/>
        </w:rPr>
        <w:t>E. 3.2</w:t>
      </w:r>
    </w:p>
    <w:p>
      <w:r>
        <w:t>Schon im Verfahren vor der Vorinstanz hatte der Beschwerdeführer am 25. Mai 2010 eine Stellungnahme eingereicht und mit Eventualantrag beantragt, es seien die Namen und Angaben von Dritten auf den zu übermittelnden Dokumenten gemäss eingereichter Liste zu anonymisieren. Bezugnehmend auf diese Stellungnahme des Beschwerdeführers hielt die ESTV in ihrer Schlussverfügung vom 9. August 2010 fest, dass von den geltend gemachten Abdeckungsanträgen sich einzig die Angaben betreffend Familienmitglieder auf den Dokumenten mit den Paginiernummern [...] ff. als abdeckungswürdig erwiesen. Mit Vernehmlassung vom 8. November 2010 ergänzte die Vorinstanz die ihres Erachtens abdeckungswürdigen Angaben mit den zwei Dokumenten mit den Paginiernummern [...] und [...]. Bei diesen Seiten handle es sich tatsächlich um Vergütungsaufträge, die nicht das Konto des Beschwerdeführers betreffen würden und fälschlicherweise in das pdf-Dokument Nr. [...] aufgenommen worden seien. Zu den übrigen gestellten Anträgen auf Anonymisierung von Namen und Angaben Dritter sei zu bemerken, dass es sich dabei jeweils um bevollmächtigte Personen sowie Empfänger von Vergütungen aus den Konten des Beschwerdeführers handle und diese nicht als unbeteiligte Dritte gelten könnten. Insofern wie auch in Bezug auf die anderweitig gestellten Anträge sei die Beschwerde abzuweisen. 4.</w:t>
      </w:r>
    </w:p>
    <w:p>
      <w:r>
        <w:rPr>
          <w:b/>
        </w:rPr>
        <w:t>E. 4</w:t>
      </w:r>
    </w:p>
    <w:p>
      <w:r>
        <w:t>UBS-interne Mitteilungen und Notizen, Berichte und Sitzungsprotokolle (einschliesslich der "Client Advisor Workbench Information") betreffend Bank- und Wertpapierverkehr mit ihren amerikanischen Kunden und, wenn vorhanden, deren verbundenen juristischen Personen;</w:t>
      </w:r>
    </w:p>
    <w:p>
      <w:r>
        <w:rPr>
          <w:b/>
        </w:rPr>
        <w:t>E. 4.1</w:t>
      </w:r>
    </w:p>
    <w:p>
      <w:r>
        <w:t>Vorab ist darauf hinzuweisen, dass die ESTV zwar in E. 5c der Schlussverfügung die Namen und Angaben zu den Familienmitgliedern des Beschwerdeführers auf den Dokumenten mit den Paginiernummern [...] ff. als abdeckungswürdig bezeichnet hat; im Dispositiv der Schlussverfügung wird die Anonymisierung dieser Dokumente aber nicht verfügt. Mit ihrer Vernehmlassung vom 8. November 2010 stellte sie jedoch den Antrag, die Beschwerde sei insofern teilweise gutzuheissen, als zusätzlich zu den in der Schlussverfügung als abdeckungswürdig bezeichneten Angaben auch die beiden Textseiten mit den Paginiernummern [...] und [...] vollständig abzudecken seien. Damit bringt sie klar zum Ausdruck, dass die Namen und Angaben zu den Familienangehörigen des Beschwerdeführers auf den Dokumenten mit den Paginiernummern [...] ff. vor Gewährung der Amtshilfe zu anonymisieren seien, obwohl dies mit der Schlussverfügung so nicht ausdrücklich verfügt wurde. Damit liegen für die Dokumente mit den Paginiernummern [...] bis und mit [...] sowie [...] und [...] übereinstimmende Anträge der Parteien vor (vgl. E. 3.1.3 und E. 4). Diesen kann im Lichte der einschlägigen Grundsätze (E. 2.4) ohne weiteres stattgegeben werden. Diesbezüglich ist die Beschwerde mithin gutzuheissen und die genannten Dokumente sind zu anonymisieren bzw. die erwähnten Inhalte abzudecken.</w:t>
      </w:r>
    </w:p>
    <w:p>
      <w:r>
        <w:rPr>
          <w:b/>
        </w:rPr>
        <w:t>E. 4.2.1</w:t>
      </w:r>
    </w:p>
    <w:p>
      <w:r>
        <w:t>Was die übrigen Anträge auf Anonymisierung von Namen und Angaben von Dritten betrifft, so ist diesen gemäss Rechtsprechung nur dann stattzugeben, wenn sog. unbeteiligte Dritte betroffen sind (vgl. E. 2.4 auch zum Folgenden). Dabei ist - wie gesagt - vom Beschwerdeführer bei jedem einzelnen Aktenstück, das nach seiner Auffassung zu anonymisieren ist, zu bezeichnen und im Einzelnen darzulegen, weshalb dieses im ausländischen Verfahren nicht erheblich sein kann bzw. es sich dabei um einen unbeteiligten Dritten handelt (oben E. 2.4.3). Im Zusammenhang mit dem Amtshilfeverfahren in Steuersachen ist einzig als unbeteiligter Dritter anzusehen, wer mit dem in das Verfahren einbezogene Konto in keiner Weise verbunden zu sein scheint. Folglich kann gerade nicht als unbeteiligter Dritter angesehen werden, wer für das Konto zeichnungsberechtigt ist und/oder Vergütungen davon erhalten hat (vgl. Urteile des Bundesverwaltungsgerichts A-6705/2010 vom 18. April 2011 E. 6.4, A-6302/2010 vom 28. März 2011 E. 9.3). In einem solchen Fall ist denn auch unbeachtlich, ob es sich bei den Dritten um Familienangehörige oder um sog. «Drittbanken» handelt, deren Konten nicht unter Art. 1 Ziff. 1 des Staatsvertrags 10 fallen.</w:t>
      </w:r>
    </w:p>
    <w:p>
      <w:r>
        <w:rPr>
          <w:b/>
        </w:rPr>
        <w:t>E. 4.2.2</w:t>
      </w:r>
    </w:p>
    <w:p>
      <w:r>
        <w:t>Der Beschwerdeführer hat die Beschwerdebeilage «Drittpersonen zu Anonymisierende Liste (incl. Originale und Kopien)» eingereicht, mit Nennung der Dokumente, die Namen und Angaben zu Dritten enthalten würden, welche vor Leistung der Amtshilfe zu anonymisieren seien. Der Liste kann entnommen werden, dass es sich dabei um Überweisungs- bzw. Vergütungsanzeigen, Kreditkarten- und Kontoauszüge, Vollmachten sowie anderweitige Korrespondenz handelt, die alle das Konto des Beschwerdeführers betreffen. Zu den einzelnen Dokumenten wurde jeweils der Vermerk «Einzelheiten belasten Dritte [jeweiliger Dritte mit Namen genannt] ausserhalb der Untersuchung» angebracht. Abgesehen davon, dass sich der Antrag zur Anonymisierung der Namen und Angaben von diesen Dritten schon aus prozessualen Gründen als unzureichend erweist, ist auch inhaltlich nicht einzusehen, weshalb unbeteiligte Dritte vorhanden sein sollten. Zum einen stammen die in Frage stehenden Namen und Angaben nicht von mit dem Konto in keiner Weise verbunden Dritten, und zum anderen beziehen sie sich direkt und unmittelbar auf das in Frage stehende Konto, womit ein offenkundiger Zusammenhang mit den zum Amtshilfegesuch führenden Verfahren in den USA besteht. Das Bundesverwaltungsgericht hat in vergleichbaren Konstellationen wie der vorliegenden denn auch festgehalten, dass unter diesen Umständen Gesuchen um Anonymisierung nicht stattgegeben werden könne (Urteil des Bundesverwaltungsgerichts A-6302/2010 vom 28. März 2011 E. 9.3). In diesem Sinn ist auch der Eventualantrag des Beschwerdeführers abzuweisen (vgl. Sachverhalt H), umfasst dieser doch - anders als der Hauptantrag - nur die Namen und Angaben der Familienangehörigen des Beschwerdeführers. Die Zugehörigkeit zur Familie des Beschwerdeführers allein ist - wie zuvor erwähnt (E. 5.2.1) - unbeachtlich. Entscheidwesentlich ist einzig, ob diese als unbeteiligte Dritte zu gelten haben oder nicht.</w:t>
      </w:r>
    </w:p>
    <w:p>
      <w:r>
        <w:rPr>
          <w:b/>
        </w:rPr>
        <w:t>E. 4.3.1</w:t>
      </w:r>
    </w:p>
    <w:p>
      <w:r>
        <w:t>Der Beschwerdeführer beantragt im Weiteren, die Verfügung der ESTV sei insoweit aufzuheben, als Dokumente irgendwelcher Art übermittelt würden, welche den Zeitraum vor dem 1. Januar 2001 oder den Zeitraum nach dem 31. Dezember 2008 betreffen. Er begründet dies damit, dass die zu erteilenden Auskünfte und Informationen ihre Grenze an den im Amtshilfeersuchen gestellten Begehren finden. Für die Auslieferung von Informationen und Daten, welche nicht Gegenstand des Amtshilfeersuchens seien, bestehe damit keine gesetzliche Grundlage. Zudem verletze die Übermittlung von Informationen und Daten, die gar nicht von der ersuchenden Behörde verlangt würden, das Prinzip der Verhältnismässigkeit gemäss Art. 42 VwVG. Das Amtshilfeersuchen des IRS vom 31. August 2009 beschränke seinen Gegenstand mit der Steuerperiode 2001 bis 2008 auf den Zeitraum vom 1. Januar 2001 bis 31. Dezember 2008. Auch aus der Bestimmung in Ziff. 1 Bst. A vom Anhang zum Staatsvertrag 10 ergebe sich dieselbe zeitliche Einschränkung des Amtshilfeverfahrens. Der Liste «Beanstandetes Datum» seien die Dokumente zu entnehmen, welche ausserhalb des fraglichen Zeitraums datieren würden.</w:t>
      </w:r>
    </w:p>
    <w:p>
      <w:r>
        <w:rPr>
          <w:b/>
        </w:rPr>
        <w:t>E. 4.3.2</w:t>
      </w:r>
    </w:p>
    <w:p>
      <w:r>
        <w:t>Wie bei den Namen und Angaben zu Dritten ist auch bei dem zeitlichen Umfang der zu übermittelnden Daten danach zu entscheiden, ob die jeweiligen Dokumente für den im Amtshilfegesuch dargestellten Sachverhalt potentiell erheblich sein können. Es trifft zu, dass für das Vorliegen der Identifikations- und der Kontokriterien gemäss Ziff. 1 Bst. A und B bzw. Ziff. 2 Bst. A und B des Anhangs zum Staatsvertrag 10 einzig die Zeitperiode 1. Januar 2001 bis 31. Dezember 2008 relevant ist und die dem Amtshilfegesuch zugrunde liegende Steuerperiode auf die Jahre 2001 bis 2008 begrenzt ist. Allerdings wurde in Bezug auf die ersuchten Dokumente keine zeitliche Einschränkung festgehalten. Zu den angeforderten Kontounterlagen gehören unter anderem Eröffnungsformulare, Unterschriftskarten, Korrespondenzpapiere sowie Unterlagen zu Gesell-schaftsstrukturen (vgl. dazu E. 2.5). Gerade diese Art von Angaben und Informationen sind im Amtshilfeverfahren in Steuersachen bzw. für den im vorliegenden Amtshilfeersuchen dargestellten Sachverhalt als potentiell erheblich einzustufen und sind daher - sofern vorhanden - auch weiterzuleiten, wenn diese ausserhalb der Zeitperiode vom 1. Januar 2001 bis 31. Dezember 2008 entstanden sind. Es ist anschliessend an den ausländischen Behörden, aus den in diesem Sinn möglicherweise relevanten Akten jene auszuscheiden, welchen den Tatverdacht zu erhärten vermögen (BGE 128 II 407 E. 6.3.1). Auch diesbezüglich ist vom Beschwerdeführer bei jedem einzelnen Aktenstück zu bezeichnen und im Einzelnen darzulegen, weshalb dieses im ausländischen Verfahren nicht erheblich sein kann. Abgesehen davon, dass sich auch hier die entsprechenden Anträge aus prozessualen Gründen als unzureichend erweisen, kann wiederholt werden, dass es sich bei den beanstandeten Dokumenten um Kontounterlagen handelt, welche Informationen enthalten, die sich direkt und unmittelbar auf das in Frage stehende Konto beziehen. Damit besteht ein offenkundiger Zusammenhang mit den zum Amtshilfegesuch führenden Verfahren und der Antrag des Beschwerdeführers ist aus vorgenannten Gründen abzuweisen.</w:t>
      </w:r>
    </w:p>
    <w:p>
      <w:r>
        <w:rPr>
          <w:b/>
        </w:rPr>
        <w:t>E. 4.4</w:t>
      </w:r>
    </w:p>
    <w:p>
      <w:r>
        <w:t>Nicht nachvollziehbar ist sodann der Antrag des Beschwerdeführers, es seien keine Duplikate d.h. Kopien von im Dossier bereits enthaltenen Dokumenten an den IRS zu übermitteln. Das Bundesverwaltungsgericht vermag hier kein schutzwürdiges Interesse zu erkennen, da mit den Duplikaten lediglich Daten übermittelt werden, welche mit dem Original sowieso der amtshilfeersuchenden Behörde offengelegt werden. Auf weitere Ausführungen wird deshalb verzichtet; der Antrag erweist sich als unbegründet.</w:t>
      </w:r>
    </w:p>
    <w:p>
      <w:r>
        <w:rPr>
          <w:b/>
        </w:rPr>
        <w:t>E. 5</w:t>
      </w:r>
    </w:p>
    <w:p>
      <w:r>
        <w:t>Nach dem Gesagten ist die Beschwerde teilweise gutzuheissen. Die Dokumente mit den Paginiernummern [...] bis und mit [...] sind in Bezug auf die Namen und Angaben von Familienangehörigen des Beschwerdeführers vor Gewährung der Amtshilfe zu anonymisieren. Die Textseiten mit den Paginiernummern [...] und [...] sind vor Gewährung der Amtshilfe vollständig abzudecken. Im Übrigen wird die Beschwerde abgewiesen.</w:t>
      </w:r>
    </w:p>
    <w:p>
      <w:r>
        <w:rPr>
          <w:b/>
        </w:rPr>
        <w:t>E. 6.1</w:t>
      </w:r>
    </w:p>
    <w:p>
      <w:r>
        <w:t>Ausgangsgemäss hat der weitgehend unterliegende Beschwerdeführer die Verfahrenskosten anteilsmässig zu tragen (Art. 63 Abs. 1 VwVG). Diese sind auf Fr. 20'000.-- festzulegen (vgl. Art. 2 Abs. 1 i.V.m. Art. 4 des Reglements vom 21. Februar 2008 über die Kosten und Entschädigungen vor dem Bundesverwaltungsgericht [VGKE, SR 173.320.2]) und dem Beschwerdeführer im Umfang von Fr. 19'000.-- aufzuerlegen und im entsprechenden Umfang mit dem geleisteten Kostenvorschuss in der Höhe von Fr. 20'000.-- zu verrechnen. Der Überschuss von Fr. 1'000.-- ist dem Beschwerdeführer zurückzuerstatten.</w:t>
      </w:r>
    </w:p>
    <w:p>
      <w:r>
        <w:rPr>
          <w:b/>
        </w:rPr>
        <w:t>E. 6.2</w:t>
      </w:r>
    </w:p>
    <w:p>
      <w:r>
        <w:t>Unter diesen Umständen ist dem Beschwerdeführer eine reduzierte Parteientschädigung zuzusprechen (vgl. Art. 64 Abs. 1 VwVG; Art. 7 Abs. 1 und 2 VGKE). Die Parteientschädigung umfasst die Kosten der Vertretung sowie allfällige weitere Auslagen der Partei (Art. 8 Abs. 1 VGKE). Die Parteien, die Anspruch auf Parteientschädigung erheben, und die amtlich bestellten Anwälte haben dem Gericht vor dem Entscheid eine detaillierte Kostennote einzureichen (Art. 14 Abs. 1 VGKE). Das Gericht setzt die Parteientschädigung und die Entschädigung für die amtlich bestellten Anwälte auf Grund der Kostennote fest. Wird keine Kostennote eingereicht, so setzt das Gericht die Entschädigung auf Grund der Akten fest (Art. 14 Abs. 2 VGKE). Der Stundenansatz beträgt für Anwälte mindestens Fr. 200.-- und höchstens Fr. 400.-- (ohne Mehrwertsteuer). Die geltend gemachten Stundenentschädigungen müssen sich im Rahmen der reglementarischen Vorgaben bewegen; es ist nur der notwendige Zeitaufwand zu entschädigen (Art. 10 VGKE). Parteikosten gelten dann als notwendig, wenn sie zur sachgerechten und wirksamen Rechts­verfolgung oder Rechtsverteidigung unerlässlich erscheinen (BGE 131 II 200 E. 7.2).</w:t>
      </w:r>
    </w:p>
    <w:p>
      <w:r>
        <w:rPr>
          <w:b/>
        </w:rPr>
        <w:t>E. 6.3</w:t>
      </w:r>
    </w:p>
    <w:p>
      <w:r>
        <w:t>Der Beschwerdeführer hat dem Bundesverwaltungsgericht zwar keine Kostennote eingereicht, macht aber unter Kosten- und Entschädigungsfolgen (Ziff. 5 der Beschwerde) bisherige Anwaltskosten von CHF 40'000.-- geltend. Damit hat der Beschwerdeführer jedoch nicht ansatzweise dargetan, welche Arbeiten durchgeführt worden sind, ebenso wenig zu welchem Stundenansatz und wie viel Zeit dafür aufgewendet wurde. Sodann fehlen Angaben darüber, wie sich der geltend gemachte Aufwand auf die einzelnen Arbeiten verteilt. Unter diesen Umständen kann nicht - wie im VGKE vorgesehen - überprüft werden, ob es sich beim geltend gemachten Honorar um entschädigungsberechtigten notwendigen Aufwand im Sinne der bundesgerichtlichen Rechtsprechung handelt. In Anwendung von Art. 14 Abs. 2 VGKE wird deshalb aufgrund der Akten entschieden, zumal angesichts der erwähnten klaren reglementarischen Grundlagen auf eine Aufforderung zur Einreichung einer detaillierten Kostennote verzichtet werden muss (Urteil des Bundesver­waltungsgerichts A 6932/2010 vom 27. April 2011 E. 7.3). Die notwendigen Kosten für die Gutheissung in Teilen der Beschwerde wird unter diesen Umständen auf Fr. 1'000.-- festgesetzt. Die ESTV ist damit zu verpflichten, dem Beschwerdeführer eine Parteientschädigung im entsprechenden Umfang auszurichten.</w:t>
      </w:r>
    </w:p>
    <w:p>
      <w:r>
        <w:rPr>
          <w:b/>
        </w:rPr>
        <w:t>E. 7</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