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A-6678/2010 vom 23. März 2011</w:t>
      </w:r>
    </w:p>
    <w:p>
      <w:r>
        <w:t>Bundesverwaltungsgericht, 2011-03-23, DE</w:t>
      </w:r>
    </w:p>
    <w:p>
      <w:r>
        <w:rPr>
          <w:b/>
        </w:rPr>
        <w:t xml:space="preserve">Quelle: </w:t>
      </w:r>
      <w:r>
        <w:t>https://mcp.opencaselaw.ch/entscheid/bvger_A-6678_2010</w:t>
      </w:r>
    </w:p>
    <w:p>
      <w:r>
        <w:t>FR: TAF A-6678/2010 du 23 mars 2011</w:t>
      </w:r>
    </w:p>
    <w:p>
      <w:r>
        <w:t>IT: TAF A-6678/2010 del 23 marzo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ist somit gegeben.</w:t>
      </w:r>
    </w:p>
    <w:p>
      <w:r>
        <w:rPr>
          <w:b/>
        </w:rPr>
        <w:t>E. 1.2</w:t>
      </w:r>
    </w:p>
    <w:p>
      <w:r>
        <w:t>Neben dem Aufhebungsbegehren beantragt der Beschwerdeführer, es sei die Verfassungswidrigkeit der Schlussverfügung der ESTV vom 19. Juli 2010 festzustellen. Gemäss Art. 37 VGG i.V.m. Art. 25 Abs. 2 VwVG ist das Begehren um Erlass einer Feststellungsverfügung gutzuheissen, wenn die gesuchstellende Person ein entsprechendes schutzwürdiges Interesse nachweist. Laut bundesgerichtlicher Rechtsprechung ist der Anspruch auf Erlass einer Feststellungsverfügung subsidiär gegenüber einer Leistungs- oder Gestaltungsverfügung (BGE 132 V 257 E. 1, 119 V 13 E. 2a; vgl. statt vieler Urteil des Bundesverwaltungsgerichts A-654/2008 vom 7. September 2010 E. 1.4, sowie André Moser/Michael Beusch/Lorenz Kneubühler, Prozessieren vor dem Bundesverwaltungsgericht, Basel 2008, Rz. 2.29 f.; René Rhinow/Beat Krähenmann, Schweizerische Verwaltungsrechtsprechung, Ergänzungsband, Basel und Frankfurt am Main 1990, Nr. 36, S. 109 f.). Mit seinem Antrag auf Aufhebung der angefochtenen Schlussverfügung stellt der Beschwerdeführer primär ein negatives Leistungsbegehren. Damit wird das Feststellungsinteresse hinfällig (vgl. Urteil des Bundesgerichts 2C_726/2009 vom 20. Januar 2010 E. 1.3; BVGE 2007/24 E. 1.3; Urteil des Bundesverwaltungsgerichts A-8017/2009 vom 2. September 2010 E. 1.2 mit Hinweis). Mit dieser Einschränkung ist auf die Beschwerde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1.4</w:t>
      </w:r>
    </w:p>
    <w:p>
      <w:r>
        <w:t>Im Rechtsmittelverfahren kommt - wenn auch in sehr abgeschwächter Form (Moser/Beusch/Kneubühler, a.a.O., Rz. 1.55) - das Rügeprinzip mit Begründungserfordernis in dem Sinn zum Tragen,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Gemäss Ziff. 1/A des Anhangs zum Staatsvertrag 10 ist Amtshilfe zu leisten bei Kunden der UBS AG mit Wohnsitz in den USA, welche "undisclosed (non-W-9) custody accounts" und "banking accounts" von mehr als einer Million Franken (zu irgendeinem Zeitpunkt während des Zeitraums von 2001 bis 2008) der UBS AG hielten und daran wirtschaftlich berechtigt waren, wenn diesbezüglich ein begründeter Verdacht auf "Betrugsdelikte und dergleichen" ("tax fraud or the like") dargelegt werden kann. Die in Ziff. 2/A/b des Anhangs zum Staatsvertrag 10 genannten Kriterien zu den Kontoeigenschaften bestimmen, wann ein begründeter Verdacht auf ein "Betrugsdelikt und dergleichen" vorliegt und somit Amtshilfe zu leisten ist. Dies ist der Fall bei fortgesetzten und schweren Steuerdelikten, in welchen der in den USA domizilierte Steuerpflichtige die Einreichung eines Formulars W-9 während eines Zeitraums von mindestens drei Jahren (welcher mindestens ein vom Ersuchen umfasstes Jahr einschliesst) unterliess und das UBS-Konto in einer beliebigen Dreijahresperiode, welche mindestens ein vom Ersuchen umfasstes Jahr einschliesst, jährliche Durchschnittseinkünfte von mehr als 100'000.-- Franken erzielte. 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Das in Ziff. 2/A/b ebenfalls erwähnte Erfordernis der schweren und fortgesetzten Steuerdelikte, für welche die Schweiz gemäss ihren Gesetzen und ihrer Verwaltungspraxis Informationen beschaffen kann, kommt keine eigenständige Bedeutung zu, zumal es im Staatsvertrag 10 selbst definiert wird (vgl. Art. 31 Abs. 4 der Wiener Konvention über das Recht der Verträge vom 23. Mai 1969 [SR 0.111, VRK]; Urteil des Bundesverwaltungsgerichts A-4013/2010 vom 15. Juli 2010 E. 8.3.1).</w:t>
      </w:r>
    </w:p>
    <w:p>
      <w:r>
        <w:rPr>
          <w:b/>
        </w:rPr>
        <w:t>E. 2.2</w:t>
      </w:r>
    </w:p>
    <w:p>
      <w:r>
        <w:t>In ihrer Schlussverfügung vom 19. Juli 2010 ist die ESTV zum Ergebnis gelangt, im konkreten Fall seien alle Voraussetzungen der Kategorie 2/A/b erfüllt und somit Amtshilfe zu leisten. Als Begründung wird ausgeführt, der Verfügungsadressat habe während des massgeblichen Zeitraums seinen Wohnsitz in den USA gehabt. An der Bankbeziehung mit Stammnummer (...), die auf seinen Namen gelautet habe, sei er wirtschaftlich berechtigt gewesen. Sodann lägen keine Hinweise vor, dass während des massgeblichen Zeitraumes ein Formular W-9 eingereicht worden sei. Der Gesamtwert des Kontos habe am 31. Dezember 2001 die massgebliche Grenze von 1'000'000.-- Franken überstiegen. Im Jahr 2003 seien Kapitalgewinne von mindestens 265'963.-- Franken generiert worden. Dazu kämen die in den Jahren 2001, 2002 und 2003 erzielten Erträge von mindestens 89'399.-- Franken. Die durchschnittlichen Einkünfte im Rahmen von drei aufeinander folgenden Jahren hätten den Betrag von 100'000.-- Franken pro Jahr überstiegen. 2.3. Dass die Tatbestandsmerkmale der Kategorie 2/A/b im vorliegenden Fall erfüllt sind, wird vom Beschwerdeführer in seiner gegen die Schlussverfügung der ESTV erhobenen Beschwerde nicht bestritten. Dagegen bringt der Beschwerdeführer generelle Rügen vor, die auf die Ungültigkeit und Nicht-Anwendbarkeit des Staatsvertrags 10 abzielen.</w:t>
      </w:r>
    </w:p>
    <w:p>
      <w:r>
        <w:rPr>
          <w:b/>
        </w:rPr>
        <w:t>E. 3.1</w:t>
      </w:r>
    </w:p>
    <w:p>
      <w:r>
        <w:t>Der Beschwerdeführer macht geltend, der Staatsvertrag 10 verletze zahlreiche Bestimmungen der Bundesverfassung der Schweizerischen Eidgenossenschaft vom 18. April 1999 (BV, SR 101), namentlich das Legalitätsprinzip, das Recht auf Privatsphäre, das Diskriminierungsverbot, das Willkürverbot und das Rückwirkungsverbot. Sodann sei die in der Europäischen Konvention zum Schutze der Menschenrechte und Grundfreiheiten vom 4. November 1950 (EMRK, SR 0.101) verankerte Garantie auf Achtung des Privatlebens und der Schutz vor diskriminierender Verletzung der Privatsphäre im vorliegenden Fall einschlägig und vom Bundesverwaltungsgericht anzuwenden. Analoges gelte für die Bestimmungen betreffend Verletzung der Privatsphäre und Schutz vor diskriminierenden Eingriffen in dieselbe gemäss dem Internationalen Pakt über bürgerliche und politische Rechte (SR 0.103.2, nachfolgend: UNO-Pakt II). Auf Grund der Verfassungs- und Völkerrechtswidrigkeit des Staatsvertrags 10 könne dieser für die rechtsanwendenden Behörden und das Bundesverwaltungsgericht nicht verbindlich sein.</w:t>
      </w:r>
    </w:p>
    <w:p>
      <w:r>
        <w:rPr>
          <w:b/>
        </w:rPr>
        <w:t>E. 3.2</w:t>
      </w:r>
    </w:p>
    <w:p>
      <w:r>
        <w:t>Der Staatsvertrag 10 ist für die schweizerischen Behörden verbindlich und findet Anwendung, selbst wenn er ein anderes Rechtsverhältnis ("un régime juridique différent") zu den Bankkunden der UBS AG begründet als zu den Bankkunden anderer Banken (vgl. auch Urteile des Bundesverwaltungsgerichts A-7156/2010 vom 17. Januar 2011 E. 5.2.1 und A-8462/2010 vom 2. März 2011 E. 4.2). Bereits im vorgängig erwähnten Piloturteil BVGE 2010/40 entschied das Bundesverwaltungsgericht, dass weder innerstaatliches Recht noch innerstaatliche Praxis dem Staatsvertrag 10 entgegengehalten werden können. Das Piloturteil hält insbesondere Folgendes fest: Das Bundesverwaltungsgericht ist gemäss Art. 190 BV auch dann gehalten, Völkerrecht anzuwenden, wenn dieses gegen die Bundesverfassung verstösst. Jedenfalls ist das Völkerrecht dann nicht auf seine Übereinstimmung mit Bundesrecht zu prüfen, wenn das Völkerrecht jünger ist (E. 3). Weder Art. 8 EMRK noch Art. 17 UNO-Pakt II fallen in die Kategorie der als ius cogens geltenden Menschenrechte (E. 6.1.3; E. 6.3). Daher kommt zur Bestimmung des Verhältnisses zwischen dem Staatsvertrag 10 und der EMRK resp. dem UNO-Pakt II die Kollisionsregel von Art. 30 VRK zur Anwendung. Der Staatsvertrag 10 geht mithin den Regeln der EMRK bzw. dem UNO-Pakt II gemäss Art. 30 Abs. 4 Bst. b VRK bzw. Art. 30 Abs. 3 VRK in Übereinstimmung mit den allgemein anerkannten völkerrechtlichen Grundsätzen der lex specialis und der lex posterior vor (E. 6.1.2; E. 6.3). Die Frage, ob die EMRK als europäischer ordre public auch ausserhalb des Bereichs des ius cogens in einem Überordnungsverhältnis zu spezielleren Verträgen steht, liess das Bundesverwaltungsgericht offen. Es erwog aber, dass selbst wenn dem so sein sollte, dies im Ergebnis am Vorrang des Staatsvertrags 10 nichts ändern würde. Wohl erwiese sich dann Art. 8 Abs. 1 EMRK in einem ersten Schritt als dem Staatsvertrag übergeordnet. Zu beachten wäre alsdann aber auch Art. 8 Abs. 2 EMRK, wonach in das Recht auf Achtung des Privatlebens eingegriffen werden darf, wenn die entsprechenden Voraussetzungen erfüllt sind, was hier bejaht werden muss (E. 6.5). Namentlich bildet der Staatsvertrag 10 im Sinne von Art. 8 Abs. 2 EMRK eine für den Eingriff hinreichende gesetzliche Grundlage, nicht zuletzt weil sich die konventionsrechtlichen Vorgaben allgemein als im Vergleich zum Landesrecht weniger streng erweisen und insbesondere weil es sich beim Staatsvertrag 10 um einen parlamentarisch und damit demokratisch legitimierten Akt handelt (E. 6.5.3). Im Weiteren stützt sich der Eingriff auf das wirtschaftliche Wohl des Landes, somit auf einen zulässigen Eingriffszweck (wobei hier genügt, dass die Annahme eines für die Volkswirtschaft drohenden Schadens nicht von vornherein haltlos ist), erweist sich als notwendig und ist in diesem Sinne zwecktauglich und angemessen, um die als erheblich einzustufenden volkswirtschaftlichen Interessen der Schweiz zu wahren sowie um ihre völkerrechtlichen Verpflichtungen zu erfüllen (E. 6.5.4). In Bezug auf Art. 17 UNO-Pakt II gilt nach Auffassung des Bundesverwaltungsgerichts Analoges, sofern davon ausgegangen werden kann, dass überhaupt Schutz- und Leistungsansprüche aus dem Pakt ableitbar sind. Eine allfällige Einschränkung des Schutzbereichs von Art. 17 UNO-Pakt II ist ebenfalls durch den Staatsvertrag 10 als zulässig zu erachten (E. 6.6). Das Rückwirkungsverbot (abgeleitet aus dem Grundsatz von Treu und Glauben) ist gemäss Piloturteil BVGE 2010/40 im Bereich der Amtshilfe dagegen nicht von Bedeutung. Gemäss bundesgerichtlicher Rechtsprechung sind Bestimmungen über Rechts- und Amtshilfe verfahrensrechtlicher Natur, welche auch auf bereits abgeschlossene Sachverhalte rückwirkend zur Anwendung gelangen dürfen. Ein diesbezügliches Rückwirkungsverbot von Normen über die Amtshilfe in Doppelbesteuerungsabkommen lässt sich aus grundrechtlichen Garantien somit nicht ableiten und muss daher ausdrücklich vereinbart worden sein (E. 6.5.2).</w:t>
      </w:r>
    </w:p>
    <w:p>
      <w:r>
        <w:rPr>
          <w:b/>
        </w:rPr>
        <w:t>E. 3.3</w:t>
      </w:r>
    </w:p>
    <w:p>
      <w:r>
        <w:t>Im Lichte dieses Urteils zielen die Einwände des Beschwerdeführers, die Bundesverfassung, Art. 8 EMRK, Art. 17 UNO-Pakt II sowie das völker- und verfassungsrechtliche Rückwirkungsverbot seien durch den Staatsvertrag 10 verletzt, ins Leere.</w:t>
      </w:r>
    </w:p>
    <w:p>
      <w:r>
        <w:rPr>
          <w:b/>
        </w:rPr>
        <w:t>E. 4.1</w:t>
      </w:r>
    </w:p>
    <w:p>
      <w:r>
        <w:t>Sodann ist das Vorbringen der Beschwerdeführers zu behandeln, wonach die Verfügung der ESTV vom 19. Juli 2010 eine diskriminierende Verletzung seiner Privatsphäre gemäss Art. 14 i.V.m. Art. 8 EMRK darstelle. Es sei davon auszugehen, dass bei der UBS mehr als 4'450 Dossiers vorhanden seien, welche die Kriterien im Anhang des Staatsvertrags 10 erfüllen würden und für welche basierend darauf auch Amtshilfe zu leisten wäre. Diese Annahme stütze sich nicht zuletzt auf den Umstand, dass ursprünglich 52'000 Kunden der UBS der Steuerhinterziehung verdächtigt wurden. In Fachkreisen werde davon gesprochen, dass durch die Beschränkung auf 4'450 Dossiers in einem Auswahlverfahren Kunden mit sehr hohen Vermögen zu Lasten solcher mit einem tieferen, aber doch noch oberhalb des relevanten Schwellenwerts liegenden Vermögen geschont worden seien. Wenn diese Information der Wahrheit entspreche, wäre die vorgenommene Selektion, die zur Schlussverfügung gegen den Beschwerdeführer geführt habe, willkürlich und diskriminierend und in Anwendung von Art. 14 i.V.m. Art. 8 EMRK zu widerrufen. In seiner Beschwerde stellt der Beschwerdeführer den Antrag, die UBS sei anzuweisen, eine anonymisierte Liste zu edieren, aus welcher hervorgehe, wie viele US-Kunden insgesamt Steuern hinterzogen haben und wie viele Konti die Kriterien des Anhangs zum Staatsvertrag 10 erfüllen; auf der letztgenannten Liste solle markiert werden, welche Konti der ESTV im Rahmen des Amtshilfeverfahrens gemeldet wurden und welche nicht.</w:t>
      </w:r>
    </w:p>
    <w:p>
      <w:r>
        <w:rPr>
          <w:b/>
        </w:rPr>
        <w:t>E. 4.2</w:t>
      </w:r>
    </w:p>
    <w:p>
      <w:r>
        <w:t>Grundsätzlich kontrolliert das Bundesverwaltungsgericht nicht, wie die UBS AG die Editionsverfügung der ESTV vom 1. September 2009 vollzogen hat (Urteile des Bundesverwaltungsgerichts A-7156/2010 vom 17. Januar 2011 E. 5.2.2; A-6258/2010 vom 14. Februar 2011 E. 4 [mit weiteren Hinweisen]; A-8462/2010 vom 2. März 2011 E. 4.4.2). Im Übrigen belässt es der Beschwerdeführer bei der blossen Behauptung, "in Bankenkreisen [werde] erzählt", dass in einem vermeintlichen Selektionsverfahren höhere Vermögen geschont worden seien. Dabei stützt sich der Beschwerdeführer auf nicht überprüfbare Aussagen unbekannter Drittpersonen. Es liegen auch keine Anhaltspunkte vor, dass die Behauptung des Beschwerdeführers zutreffen könnte. Deshalb besteht für das Bundesverwaltungsgericht keine Veranlassung, entsprechende Beweise zu edieren bzw. edieren zu lassen. Der Beweisantrag des Beschwerdeführers ist abzuweisen und auf die nicht rechtsgenüglich substantiierte Beschwerde in diesem Punkt nicht einzutreten.</w:t>
      </w:r>
    </w:p>
    <w:p>
      <w:r>
        <w:rPr>
          <w:b/>
        </w:rPr>
        <w:t>E. 4.3</w:t>
      </w:r>
    </w:p>
    <w:p>
      <w:r>
        <w:t>Selbst wenn diesbezüglich auf die Beschwerde eingetreten werden könnte, müsste diese vom Bundesverwaltungsgericht unter Berufung auf den Pilotentscheid BVGE 2010/40 (vgl. E. 3.2 hiervor) in der Sache abgewiesen werden. Wie sogleich zu zeigen sein wird, würde sich am Ergebnis aber selbst dann nichts ändern, wenn die EMRK dem Staatsvertrag 10 vorginge. Gemäss Art. 14 EMRK ist der Genuss der in der EMRK anerkannten Rechte und Freiheiten ohne Diskriminierung, insbesondere ohne Diskriminierung wegen des Vermögens zu gewährleisten. Aufgrund seiner akzessorischen Natur hat Art. 14 EMRK allerdings keine eigenständige Bedeutung (BGE 136 II 120 E. 3.3.3) und ist nur anwendbar, wenn der Gegenstand der Schlechterbehandlung bzw. der Ungleichbehandlung "eine Form der Ausübung des garantierten Rechts oder die gerügte Massnahme eng mit der Ausübung des garantierten Rechts verbunden ist" (Jens Meyer-Ladewig, Europäische Menschenrechtskonvention, Handkommentar, 3. Aufl., Baden-Baden 2011, N. 5 zur Art. 14 EMRK). Damit setzt Art. 14 EMRK voraus, dass der einer möglichen Diskriminierung zugrunde liegende Sachverhalt in den Regelungsbereich eines Konventionsrechts fällt (Christoph Grabenwarter, Europäische Menschenrechtskonvention, 4. Auflage, München, 2009, S. 446, N. 2). Nicht erforderlich ist dagegen, dass die Konventionsgarantie, die im Zusammenhang mit dem Diskriminierungsverbot Anwendung findet, verletzt ist (Grabenwarter, a.a.O., S. 446, N. 3). Wie im Pilotentscheid des Bundesverwaltungsgerichts BVGE 2010/40 in E. 5.4.4 festgehalten, tangiert der behördliche Informationsaustausch in Steuersachen den Schutzbereich von Art. 8 EMRK. Deshalb kann Art. 14 EMRK in Verbindung mit dieser Bestimmung angerufen werden. Die Schweiz verpflichtet sich im Staatsvertrag 10 ein Amtshilfegesuch der Vereinigten Staaten über US-Kunden der UBS AG anhand der im Anhang zum Staatsvertrag 10 definierten Kriterien zu bearbeiten (vgl. dazu Art. 1 Staatsvertrag 10). Aufgrund dieser Kriterien schätzen und erwarten die Vertragsparteien, dass die Anzahl der unter das Amtshilfegesuch fallenden laufenden oder saldierten Konten ungefähr 4'450 beträgt. Dabei handelt es sich allerdings um eine Schätzung der Vertragsparteien in Bezug auf die Konten, welche die Kriterien des Anhangs zum Staatsvertrag 10 erfüllen dürften. Dagegen hat die ESTV in ihrer Editionsverfügung vom 1. September 2009 die UBS AG angewiesen, ihr von sämtlichen Kunden, die in eine der im Anhang zum Staatsvertrag 10 genannte Kategorie fallen, die vollständigen Dossiers herauszugeben. Damit wird die Anzahl der Personen, für die nach dem Staatsvertrag 10 gegenüber den USA Amtshilfe zu leisten ist, weder durch den Staatsvertrag 10 noch durch die Vollzugsmassnahmen der ESTV begrenzt. Vom Amtshilfeverfahren basierend auf den Staatsvertrag 10 sind alle natürlichen Personen, für welche die im Anhang zum Staatsvertrag 10 definierten Kriterien erfüllt sind, gleichermassen betroffen. Folglich erfolgt auf der Stufe der Behörden im Zuge der Umsetzung des Staatsvertrags 10 keine Ungleichbehandlung von vergleichbaren Sachverhalten, und es liegt keine Diskriminierung im Sinne von Art. 14 i.V.m. Art. 8 EMRK vor.</w:t>
      </w:r>
    </w:p>
    <w:p>
      <w:r>
        <w:rPr>
          <w:b/>
        </w:rPr>
        <w:t>E. 4.4</w:t>
      </w:r>
    </w:p>
    <w:p>
      <w:r>
        <w:t>Der Beschwerdeführer rügt sodann eine Verletzung von Art. 26 i.V.m. Art. 17 UNO-Pakt II. Art. 26 UNO-Pakt II hat aus schweizerischer Sicht keine eigenständige Bedeutung (vgl. den Vorbehalt der Schweiz zu dieser Bestimmung in Art. 1 Abs. 1 des BB vom 13. Dezember 1991 [AS 1993 747]; Urteile des Bundesverwaltungsgerichts A-3545/2010 vom 17. Januar 2011 E. 4.3; A-7156/2010 vom 17. Januar 2011 E. 5.2.1). Der Geltungsbereich von Art. 26 UNO-Pakt II ist daher nicht weiter gefasst als jener von Art. 14 EMRK (BGE 123 II 472 E. 4d). Auch Art. 17 UNO-Pakt II geht bezüglich der vorliegend relevanten Bereiche nicht über Art. 8 EMRK hinaus, weshalb auf die vorhergehende Erwägung verwiesen werden kann. Das Bundesverwaltungsgericht hat im Urteil BVGE 2010/40 E. 5.5 die Frage offen gelassen, ob Daten über die finanzielle Situation überhaupt in den Schutzbereich des Art. 17 UNO-Pakt II fallen würden (dazu bereits E. 4.2.2).</w:t>
      </w:r>
    </w:p>
    <w:p>
      <w:r>
        <w:rPr>
          <w:b/>
        </w:rPr>
        <w:t>E. 5</w:t>
      </w:r>
    </w:p>
    <w:p>
      <w:r>
        <w:t>Nach dem Gesagten sind in Bezug auf den Beschwerdeführer alle Voraussetzungen gemäss Ziff. 1 Bst. A des Anhangs zum Staatsvertrag 10 gegeben, und es liegt ein begründeter Verdacht auf «fortgesetzte und schwere Steuerdelikte» gemäss Ziff. 2 Bst. A/b des Anhangs zum Staatsvertrags 10 vor, weshalb Amtshilfe zu gewähren ist. Die Beschwerde ist abzuweisen.</w:t>
      </w:r>
    </w:p>
    <w:p>
      <w:r>
        <w:rPr>
          <w:b/>
        </w:rPr>
        <w:t>E. 6</w:t>
      </w:r>
    </w:p>
    <w:p>
      <w:r>
        <w:t>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von Fr. 20'000.-- zu verrechnen. Der Überschuss von Fr. 5'000.--wird dem Beschwerdeführer zurückerstattet. Eine Parteientschädigung ist nicht zuzusprechen (vgl. Art. 64 Abs. 1 VwVG e contrario und Art. 7 Abs. 1 VGKE e contrario sowie Art. 7 Abs. 3 VGKE).</w:t>
      </w:r>
    </w:p>
    <w:p>
      <w:r>
        <w:rPr>
          <w:b/>
        </w:rPr>
        <w:t>E. 7</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