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A-6677/2010 vom 6. Juni 2011</w:t>
      </w:r>
    </w:p>
    <w:p>
      <w:r>
        <w:t>Bundesverwaltungsgericht, 2011-06-06, DE</w:t>
      </w:r>
    </w:p>
    <w:p>
      <w:r>
        <w:rPr>
          <w:b/>
        </w:rPr>
        <w:t xml:space="preserve">Quelle: </w:t>
      </w:r>
      <w:r>
        <w:t>https://mcp.opencaselaw.ch/entscheid/bvger_A-6677_2010</w:t>
      </w:r>
    </w:p>
    <w:p>
      <w:r>
        <w:t>FR: TAF A-6677/2010 du 6 juin 2011</w:t>
      </w:r>
    </w:p>
    <w:p>
      <w:r>
        <w:t>IT: TAF A-6677/2010 del 6 giugno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der Beschwerdeführer die seine Rügen stützenden Tatsachen darzulegen und allfällige Beweismittel einzureichen hat (Art. 52 Abs. 1 VwVG; Christoph Auer, in: Auer/Müller/Schindler [Hrsg.], Kommentar zum Bundesgesetz über das Verwaltungsverfahren [VwVG], Zürich/St. Gallen 2008 [nachfolgend: Kommentar VwVG],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A-6053/2010 vom 10. Januar 2010 E. 1.5, A-4911/2010 vom 30. November 2010 E. 1.4.2, A-4013/2010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(Urteil des Bundesverwaltungsgerichts A-6455/2010 vom 31. März 2011 E. 2.4). Das Bundesverwaltungsgericht nimmt diesbezüglich keine Untersuchungshandlungen vor (Urteil des Bundesverwaltungsgerichts A-4911/2010 vom 30. November 2010 E. 1.4.2).</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(in casu: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2.3</w:t>
      </w:r>
    </w:p>
    <w:p>
      <w:r>
        <w:t>Das Bundesverwaltungsgericht würdigt die Beweise frei (Art. 19 VwVG in Verbindung mit Art. 40 des Bundesgesetzes vom 4. Dezember 1947 über den Bundeszivilprozess [SR 273]).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(Auer, in: Kommentar VwVG, a.a.O., N 27 zu Art. 12).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Bundesgerichts 5A_507/2010 und 5A_508/2010 vom 15. Dezember 2010 E. 4.2; vgl. in diesem Sinn auch Patrick L. Krauskopf/Katrin Emmenegger, in: Wald­mann/Weissenberger [Hrsg.], Praxiskommentar zum Bundesgesetz über das Verwaltungsverfahren [VwVG], Zürich/Basel/Genf 2009, N 92 zu Art. 12; vgl. zum Ganzen: Urteil des Bundesverwaltungsgerichts A-6672/2010 vom 24. Februar 2011 E. 2.3).</w:t>
      </w:r>
    </w:p>
    <w:p>
      <w:r>
        <w:rPr>
          <w:b/>
        </w:rPr>
        <w:t>E. 3.1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3.2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(Urteil des Bundesverwaltungsgerichts A-6053/2010 vom 10. Januar 2011 E. 7.1.1; vgl. auch grundlegend Urteil des Bundesverwaltungs­gerichts A-4911/2010 vom 30. November 2010 E. 5.2).</w:t>
      </w:r>
    </w:p>
    <w:p>
      <w:r>
        <w:rPr>
          <w:b/>
        </w:rPr>
        <w:t>E. 3.3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w:t>
      </w:r>
    </w:p>
    <w:p>
      <w:r>
        <w:rPr>
          <w:b/>
        </w:rPr>
        <w:t>E. 3.4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3.5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Personen - trotz (allfälliger) Aufforderung der ESTV - zu beweisen unterliess, dass sie ihre steuerrechtlichen Meldepflichten in Bezug auf ihre Interessen an der Stiftung erfüllt hat, indem die ESTV ermächtigt worden wäre, beim IRS Kopien der FBAR-Erklärungen für die relevanten Jahre einzuholen (Urteil des Bundesverwaltungsge­richts A-6053/2010 vom 10. Januar 2011 E. 2.3). 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 4013/2010 vom 15. Juli 2010 E. 8.3.3; zur ganzen Erwägung 4 vgl. auch Urteil des Bundes­verwaltungs­gerichts A-6932/2010 vom 27. April 2011 E. 3).</w:t>
      </w:r>
    </w:p>
    <w:p>
      <w:r>
        <w:rPr>
          <w:b/>
        </w:rPr>
        <w:t>E. 4.1</w:t>
      </w:r>
    </w:p>
    <w:p>
      <w:r>
        <w:t>Laut angefochtener Verfügung der Vorinstanz ist den Bankunterlagen zu entnehmen, dass die X._______ (nachfolgend: Gesellschaft) und ihr Konto mit Stammnummer [...] während mindestens 3 Jahren zwischen 1999 und 2008 bestanden. Der Beschwerdeführer sei eine "US person" im Sinne des Anhangs zum Staatsvertrag 10. Aus den Angaben im Bankformular A ergebe sich, dass der Beschwerdeführer seinen Wohnsitz in den USA habe. Der Beschwerdeführer sei an der Gesellschaft und damit auch an deren Bankkonto mit der Stammnummer [...] wirtschaftlich berechtigt gewesen. Er habe der ESTV keine Ermächtigung gegeben, beim IRS Kopien seiner FBAR-Erklärungen einzuholen. Im Jahr 2000 seien Kapitalgewinne von mindestens Fr. 360'892.-- und damit im Rahmen von drei aufeinander folgenden Jahren Kapitalgewinne von mehr als durchschnittlich Fr. 100'000.-- pro Jahr erzielt worden.</w:t>
      </w:r>
    </w:p>
    <w:p>
      <w:r>
        <w:rPr>
          <w:b/>
        </w:rPr>
        <w:t>E. 4.2</w:t>
      </w:r>
    </w:p>
    <w:p>
      <w:r>
        <w:t>Der Beschwerdeführer bestreitet weder, dass er eine "US person" im Sinne des Anhangs zum Staatsvertrag 10 sei noch dass es sich bei der X._______ um eine "offshore company" im Sinne des Anhangs zum Staatsvertrag 10 gehandelt habe. Damit erweisen sich zwei Identifikationsmerkmale der Kategorie 2/B/b des Anhangs zum Staatsvertrag 10 als erfüllt.</w:t>
      </w:r>
    </w:p>
    <w:p>
      <w:r>
        <w:rPr>
          <w:b/>
        </w:rPr>
        <w:t>E. 4.3</w:t>
      </w:r>
    </w:p>
    <w:p>
      <w:r>
        <w:t>Hingegen macht der Beschwerdeführer geltend, am streitbetroffenen UBS-Konto der X._______ nicht wirtschaftlich berechtigt gewesen zu sein. Als Begründung bringt er Folgendes vor: Sein Vater habe in den achtziger Jahren bei einer Versicherungsgesellschaft in der Schweiz zugunsten seiner Enkelkinder Heiratsversicherungen abschliessen lassen. Die Verwaltung der Heiratsversicherungspolicen sei einem in der Schweiz wohnhaften Treuhänder übertragen worden. Hierzu habe der Treuhänder die X._______, eine nach dem Recht von Gibraltar gegründete Gesellschaft, gekauft. Eigentümer dieser Gesellschaft sei der Treuhänder gewesen. In der Folge sei auf den Namen der X._______ bei der UBS AG ein Konto eröffnet worden. Der Treuhänder habe über dieses Konto Einzelzeichnungsbefugnis gehabt. Das auf dem UBS-Konto liegende Ver­mögen stamme ausschliesslich aus den vom Vater des Beschwerdeführers abgeschlossenen Heiratsversicherungen zugunsten der Enkelkinder. Über Auszahlungen von Versicherungssummen an die Enkelkinder habe allein der Treuhänder nach Ermessen entschieden. Die Versicherung habe im Versicherungsfall jeweils eine Check-Rimesse ausgestellt, die dem Privatkonto des Treuhänders gutgeschrieben worden sei. Der Treuhänder habe daraufhin die X._______ entsprechend alimentiert. Der Beschwerdeführer selber habe nie Ansprüche aus den Heiratsversicherungen gehabt. Bei der Kontoeröffnung habe der Treuhänder auf dem Bankformular A fälschlicherweise den Beschwerdeführer als wirtschaftlich Berechtigten angegeben. In Tat und Wahrheit sei der Beschwerdeführer jedoch weder an der X._______ noch an den Vermögenswerten auf dem besagten UBS-Konto wirtschaftlich berechtigt gewesen. Vom Umstand, dass der Treuhänder ein Konto für die X._______ in der Schweiz eingerichtet und irrtümlicherweise ihn als wirtschaftlich Berechtigten aufgeführt habe, habe er nichts gewusst. Auch sei er weder jemals in der Schweiz gewesen noch habe er eine Kopie seines Passes bei der UBS AG deponiert oder selbst jemals Bezüge über das Konto getätigt. Er habe lediglich als "Ansprechperson" für den Fall des Ablebens des Treuhänders gewirkt. Um allfällige Missverständnisse aus dem Weg zu räumen, sei am 23. Dezember 2009 zwischen der X._______ und dem Treuhänder eine Trustvereinbarung "nunc pro tunc" abgeschlossen worden. Darin sei der Beschwerdeführer als Begünstigter ausdrücklich ausgenommen worden. Aufgrund dieser Sachlage ergebe sich, dass allein der Treuhänder Herrschaftsmacht und Herrschaftswillen über die auf dem UBS-Konto deponierten Vermögenswerte gehabt habe. Demnach sei dieser, nicht der Beschwerdeführer, am fraglichen Konto wirtschaftlich berechtigt gewesen. Allenfalls seien auch die Enkelkinder als aus den Heiratsversicherungen Begünstigte als wirtschaftlich berechtigt zu betrachten. Zwei Enkelkinder hätten Einzelzeichnungsberechtigung über das UBS-Konto gehabt, was ein Indiz dafür sei, dass diese am Konto wirtschaftlich berechtigt seien.</w:t>
      </w:r>
    </w:p>
    <w:p>
      <w:r>
        <w:rPr>
          <w:b/>
        </w:rPr>
        <w:t>E. 4.4.1</w:t>
      </w:r>
    </w:p>
    <w:p>
      <w:r>
        <w:t>Die Annahme der Vorinstanz, der Beschwerdeführer sei am fraglichen UBS-Konto der X._______ wirtschaftlich berechtigt gewesen, stützt sich auf das Bankformular A "Feststellung des wirtschaftlich Berechtigten". Darin wird der Beschwerdeführer als wirtschaftlich Berechtigter am UBS-Konto der X._______ mit Stammnummer [...] aufgeführt (Belegstellen [...]; vgl. auch [...], [...] sowie [...]). Damit hatte die Vorinstanz einen hinreichenden Anhaltspunkt für ihre Annahme, dass der Beschwerdeführer an dem auf dem UBS-Konto liegenden Vermögen wirtschaftlich berechtigt sei (vgl. in diesem Sinn Urteile des Bundesverwaltungsgerichts A 6871/2010 vom 5. Mai 2011 E. 5.4.2, A-7012/2010 vom 21. März 2011 E. 5.3.1 f., A-5974/2010 vom 14. Februar 2011 E. 4.2.1). Die aufgrund des Bankformulars A getroffene Annahme wird durch weitere Bankunterlagen gestützt. So ergibt sich aus dem Dokument "Picturing", dass der Treuhänder zugunsten des Beschwerdeführers auf das streitbetroffene UBS-Konto einen Betrag von Fr. 380'532.-- gutschreiben liess. Nach Angaben des Treuhänders habe es sich um die Rückzahlung einer Lebensversicherung gehandelt, die er dem Beschwerdeführer als wirtschaftlich Berechtigtem am fraglichen UBS-Konto zwecks Begleichung einer geschäftlichen Schuld überwiesen habe (Belegstelle [...]).</w:t>
      </w:r>
    </w:p>
    <w:p>
      <w:r>
        <w:rPr>
          <w:b/>
        </w:rPr>
        <w:t>E. 4.4.2</w:t>
      </w:r>
    </w:p>
    <w:p>
      <w:r>
        <w:t>Bei dieser Sachlage obliegt es dem Beschwerdeführer, die Sachverhaltsannahme der Vorinstanz klarerweise und entscheidend zu entkräften. Da im Amtshilfeverfahren kein Raum für ein umfangreiches Beweisverfahren bleibt, hat der Nachweis mittels Urkunden zu erfolgen (vgl. E. 2 hiervor). Die vom Beschwerdeführer gestellten Beweisanträge der Zeugen- und Parteibefragung sind demnach abzuweisen.</w:t>
      </w:r>
    </w:p>
    <w:p>
      <w:r>
        <w:rPr>
          <w:b/>
        </w:rPr>
        <w:t>E. 4.4.3</w:t>
      </w:r>
    </w:p>
    <w:p>
      <w:r>
        <w:t>Der Beschwerdeführer legt diverse auf ihn, seinen Bruder und seinen Schwager lautende Versicherungspolicen ins Recht (siehe Beschwerdebeilage 3). Entgegen seiner Behauptung handelt es sich dabei jedoch nicht nur um "Heiratsversicherungen" zugunsten seiner Kinder, sondern auch um ihn als Versicherungsnehmer und versicherte Person begünstigende Lebens- bzw. Erlebensfallversicherungen. Als weiteres Beweisdokument legt der Beschwerdeführer eine undatierte, am 8. September 2010 öffentlich beurkundete eidesstattliche Erklärung des Treuhänders ins Recht. Darin bestätigt dieser im Wesentlichen die oben (in E. 4.3) wiedergegebenen Ausführungen des Beschwerdeführers. Die eidesstattlicher Erklärung stellt zwar eine öffentliche Urkunde des kantonalen Rechts im Sinn von Art. 9 Abs. 1 ZGB dar. Jedoch geniesst diese keine erhöhte Beweiskraft, da die Urkundsperson nicht in der Lage ist, den materiellen Inhalt der Aussage zu überprüfen. Die erhöhte Beweiskraft erstreckt sich lediglich auf die Identität der erklärenden Person und auf die Tatsache, dass vor der Urkundsperson die verurkundete Wissenserklärung abgegeben wurde (vgl. E. 2.3 hiervor). Auch mit dieser vorgelegten Urkunde gelingt es dem Beschwerdeführer deshalb nicht, die Annahme der Vorinstanz, dass er am fraglichen UBS-Konto wirtschaftlich berechtigt gewesen sei, klarerweise und entscheidend zu entkräften. Daran ändert die im Laufe des Amtshilfeverfahrens errichtete Trustvereinbarung vom 23. Dezember 2009, worin stipuliert wird, dass der Beschwerdeführer nicht in den Kreis der aus den Heiratsversicherungen Begünstigten falle, nichts. Die weiteren ins Recht gelegten Urkunden sind ebenfalls nicht geeignet, die Annahme der wirtschaftlichen Berechtigung des Beschwerdeführers am streitbetroffenen UBS-Konto zu entkräften.</w:t>
      </w:r>
    </w:p>
    <w:p>
      <w:r>
        <w:rPr>
          <w:b/>
        </w:rPr>
        <w:t>E. 4.5</w:t>
      </w:r>
    </w:p>
    <w:p>
      <w:r>
        <w:t>Der Beschwerdeführer hat bis heute nicht dargelegt, inwiefern er seinen steuerrechtlichen Meldepflichten in Bezug auf seine Interessen an der X._______ nachgekommen ist. Gemäss der einschlägigen Bestimmung im Anhang zum Staatsvertrag 10 besteht somit der begründete Verdacht auf "fortgesetzte und schwere Steuerdelikte". Hinzu kommt, dass die X._______ und ihr UBS-Konto gemäss den an die Vorinstanz eingereichten Bankunterlagen während mindestens drei Jahren zwischen 1999 und 2008 (und damit einschliesslich eines vom Ersuchen erfassten Jahres) bestanden. Gemäss der Dossieranalyse der Vorinstanz sind auf dem Konto der X._______ im Jahr 2000 Kapitalgewinne von mindestens Fr. 360'892.-- erzielt worden und damit im Rahmen von drei aufeinander folgenden Jahren mehr als durchschnittlich Fr. 100'000.-- pro Jahr. Diese Berechnungen blieben unbestritten. Die vorausgesetzten Kontounterlagen gemäss Ziff. 2 Bst. B/b des Anhangs zum Staatsvertrag 10 sind hiermit für das UBS-Konto der X._______ erfüllt, und der Beschwerdeführer hat es unterlassen nachzuweisen, dass er seinen steuerrechtlichen Meldepflichten in bezug auf seine Interessen an der X._______ nachgekommen ist. Gemäss den einschlägigen Bestimmungen im Anhang zum Staatsvertrag 10 besteht somit in seinem Fall der begründete Verdacht auf "fortgesetzte und schwere Steuerdelikte". Damit sind alle Voraussetzungen zur Gewährung von Amtshilfe erfüllt. Unter diesen Umständen erübrigt sich auch jegliches Eingehen auf den ohnehin nicht näher begründeten Eventualantrag.</w:t>
      </w:r>
    </w:p>
    <w:p>
      <w:r>
        <w:rPr>
          <w:b/>
        </w:rPr>
        <w:t>E. 5</w:t>
      </w:r>
    </w:p>
    <w:p>
      <w:r>
        <w:t>Nach dem Gesagten ist Beschwerde vollumfänglich abzuweisen. Bei diesem Ausgang des Verfahrens hat der Beschwerdeführer die Verfahrenskosten zu tragen (Art. 63 Abs. 1 VwVG). Diese sind auf Fr. 15'000.-- festzusetzen (vgl. Art. 2 Abs. 1 i.V.m. Art. 4 des Reglements vom 21. Februar 2008 über die Kosten und Entschädigungen vor dem Bundesverwaltungsgericht [VGKE, SR 173.320.2]) und im entsprechenden Umfang mit dem geleisteten Kostenvorschuss in der Höhe von Fr. 20'000.-- zu verrechnen. Der Überschuss von Fr. 5'000.-- ist dem Beschwerdeführer zurückzuerstatten. Eine Parteientschädigung ist nicht zuzusprechen (vgl. Art. 64 Abs. 1 VwVG e contrario).</w:t>
      </w:r>
    </w:p>
    <w:p>
      <w:r>
        <w:rPr>
          <w:b/>
        </w:rPr>
        <w:t>E. 6</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