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A-665/2013 vom 10. Oktober 2013</w:t>
      </w:r>
    </w:p>
    <w:p>
      <w:r>
        <w:t>Bundesverwaltungsgericht, 2013-10-10, DE</w:t>
      </w:r>
    </w:p>
    <w:p>
      <w:r>
        <w:rPr>
          <w:b/>
        </w:rPr>
        <w:t xml:space="preserve">Quelle: </w:t>
      </w:r>
      <w:r>
        <w:t>https://mcp.opencaselaw.ch/entscheid/bvger_A-665_2013</w:t>
      </w:r>
    </w:p>
    <w:p>
      <w:r>
        <w:t>FR: TAF A-665/2013 du 10 octobre 2013</w:t>
      </w:r>
    </w:p>
    <w:p>
      <w:r>
        <w:t>IT: TAF A-665/2013 del 10 ottobre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zu beurteilende Sachverhalt hat sich in den Jahren 2005 bis 2009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A-4506/2011 vom 30. April 2012 E. 1.3, A-6299/2009 vom 21. April 2011 E. 2.2 und E. 5.7 sowie A-7652/2009 vom 8. Juni 2010 E. 1.3, mit Hinweisen).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Urteile des Bundesverwaltungsgerichts A-4506/2011 vom 30. April 2012 E. 1.3 und A-2998/2009 vom 11. November 2010 E. 1.2). Hingegen kann unter anderem Art. 81 MWSTG unter die von Art. 113 Abs. 3 MWSTG anvisierten Verfahrensbestimmungen subsumiert werden (Pascal Mollard/Xavier Oberson/Anne Tissot Benedetto, Traité TVA, Basel 2009, S. 1235 N 670).</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A-1184/2012 vom 31. Mai 2012 E. 2 ff.).</w:t>
      </w:r>
    </w:p>
    <w:p>
      <w:r>
        <w:rPr>
          <w:b/>
        </w:rPr>
        <w:t>E. 1.2.3</w:t>
      </w:r>
    </w:p>
    <w:p>
      <w:r>
        <w:t>Der Erlass eines Einspracheentscheides setzt ausführungsgemäss voraus, dass vorgängig eine Verfügung ergangen ist, welche überhaupt Gegenstand eines Einspracheverfahrens bilden kann. Die Vorinstanz sieht diese Verfügung in der als "Verfügung" bezeichneten Einschätzungsmitteilung (EM) Nr. [...] vom 27. Juli 2010.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7. Januar 2013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7. Januar 2013 einlässlich begründet ist (vgl. auch Urteile des Bundesverwaltungsgerichts A-6180/2012 vom 3. September 2013 E. 1.2.3, A-6181/2012 vom 3. September 2013 E. 1.2.3, A-707/2013 vom 25. Juli 2013 E. 1.2.3 und E. 4.2.5.3).</w:t>
      </w:r>
    </w:p>
    <w:p>
      <w:r>
        <w:rPr>
          <w:b/>
        </w:rPr>
        <w:t>E. 1.2.4</w:t>
      </w:r>
    </w:p>
    <w:p>
      <w:r>
        <w:t>Das Bundesverwaltungsgericht ist demnach für die Beurteilung der vorliegenden Beschwerde auch funktional zuständig.</w:t>
      </w:r>
    </w:p>
    <w:p>
      <w:r>
        <w:rPr>
          <w:b/>
        </w:rPr>
        <w:t>E. 1.3</w:t>
      </w:r>
    </w:p>
    <w:p>
      <w:r>
        <w:t>Auf die im Übrigen frist- und formgerecht eingereichte Beschwerde ist einzutreten.</w:t>
      </w:r>
    </w:p>
    <w:p>
      <w:r>
        <w:rPr>
          <w:b/>
        </w:rPr>
        <w:t>E. 1.4</w:t>
      </w:r>
    </w:p>
    <w:p>
      <w:r>
        <w:t>Im Verwaltungsverfahren und in der Verwaltungsrechtspflege gilt der Untersuchungsgrundsatz, wonach die Behörde den rechtserheblichen Sachverhalt von Amtes wegen festzustellen hat (Art. 12 VwVG). Dieser Grundsatz gilt nunmehr auch im Mehrwertsteuerrecht, da nach Art. 81 Abs. 1 MWSTG der Vorbehalt für Steuerverfahren gemäss Art. 2 Abs. 1 VwVG auf das Mehrwertsteuerrecht keine Anwendung mehr findet (s. vorne E. 1.2.1).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A-4206/2012 vom 13. März 2013 E. 2.2.1).</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A-829/2011 vom 30. Dezem-ber 2011 E. 1.4 und A-4785/2007 vom 23. Februar 2010 E. 5.5; André Moser/Michael Beusch/Lorenz Kneubühler, Prozessieren vor dem Bundesverwaltungsgericht, Basel 2008, Rz. 3.144, mit Hinweisen).</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w:t>
      </w:r>
    </w:p>
    <w:p>
      <w:r>
        <w:rPr>
          <w:b/>
        </w:rPr>
        <w:t>E. 2.3</w:t>
      </w:r>
    </w:p>
    <w:p>
      <w:r>
        <w:t>Die Veranlagung und Entrichtung der Mehrwertsteuer erfolgt nach dem Selbstveranlagungsprinzip (Art. 46 f. aMWSTG; vgl. Urteil des Bundesgerichts 2C_356/2008 vom 21. November 2008 E. 3.2; Urteil des Bundesverwaltungsgerichts A-5312/2008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und 2A.109/2005 vom 10. März 2006 E. 2.1; Urteile des Bundes­verwaltungsgerichts A 1344/2011 und A-3285/2011 vom 26. September 2011 E. 3.1 sowie A 5460/2008 vom 12. Mai 2010 E. 2.5.1).</w:t>
      </w:r>
    </w:p>
    <w:p>
      <w:r>
        <w:rPr>
          <w:b/>
        </w:rPr>
        <w:t>E. 2.4.1</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(in erster Auflage erschienen im Herbst 1994 [herausgegeben im Frühling 1997]; als Wegleitung 2001 zur Mehrwertsteuer [Wegleitung 2001] danach herausgegeben per 1. Januar 2001 [und per 1. Januar 2008 herausgegeben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890 und 893 ff.; vgl. Urteil des Bundesgerichts 2C_356/2008 vom 21. November 2008 E. 3.3; statt vieler: Urteile des Bundesverwaltungsgerichts A-6181/2012 vom 3. September 2013 E. 2.7.2, A-5274/2011 vom 19. März 2013 E. 4.1.3, A-4506/2011 vom 30. April 2012 E. 2.3.1 und A-7570/2009 vom 22. Juni 2011 E. 2.2.1).</w:t>
      </w:r>
    </w:p>
    <w:p>
      <w:r>
        <w:rPr>
          <w:b/>
        </w:rPr>
        <w:t>E. 2.4.2</w:t>
      </w:r>
    </w:p>
    <w:p>
      <w:r>
        <w:t>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Bundesgerichts 2C_206/2012 vom 6. September 2012 E. 2.2, 2A.693/2006 vom 26. Juli 2007 E. 3.1 und 2A.569/2006 vom 28. Februar 2007 E. 3.1).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2C_835/2011 vom 4. Juni 2012 E. 2.2.2, 2C_302/2009 vom 15. Oktober 2009 E. 4.2 und 2A.693/2006 vom 26. Juli 2007 E. 3.1; Urteile des Bundesverwaltungsgerichts A-4616/2011 vom 18. September 2012 E. 2.4.4, A-5938/2011 vom 4. Juli 2012 E. 2.4.3 und A-5166/2011 vom 3. Mai 2012 E. 2.5.4). Die zentrale Bedeutung eines korrekt geführten Kassabuchs ist allen Steuerarten gleichermassen eigen (vgl. Urteile des Bundesgerichts 2C_206/2012 vom 6. September 2012 E. 2.2, 2C_835/2011 vom 4. Juni 2012 E. 2.2.2; statt vieler: Urteile des Bundesverwaltungsgerichts A-5836/2012 vom 19. August 2013 E. 2.4.4, A-4922/2012 vom 14. Juni 2013 E. 2.4.4 mit weiteren Hinweisen). 2.52.5.1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Diese Bestimmung ist auch heranzuziehen, falls mangels Aufzeichnungen - worunter nicht nur Geschäftsbücher im Sinne von Art. 58 Abs. 1 aMWSTG zu verstehen sind (vgl. dazu Pascal Mollard, TVA et taxation par estimation, veröffentlicht in: Archiv für Schweizerisches Abgaberecht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260). 2.5.2 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 des Bundesverwaltungsgerichts A-4922/2012 vom 14. Juni 2013 E. 2.5.2 mit Hinweisen). 2.62.6.1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Bundesgerichts 2A.552/2006 vom 1. Februar 2007 E. 3.2; Urteile des Bundesverwaltungsgerichts A-6544/2012 vom 12. September 2013 E. 2.6.1 und A-4922/2012 vom 14. Juni 2013 E. 2.6.1). 2.6.2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Alois Camenzind/Niklaus Honauer/Klaus A. Vallender, Handbuch zum Mehrwertsteuergesetz [MWSTG], 2. Aufl., Bern 2003, N. 1682).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Bundesverwaltungsgerichts A-4922/2012 vom 14. Juni 2013 E. 2.6.2 und A-6544/2012 vom 12. September 2013 E. 2.5.2; Mollard, a.a.O., S. 530 ff.).</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 des Bundesverwaltungsgerichts A 1933/2012 vom 20. November 2012 E. 2.7.2, mit weiteren Hinweisen).</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statt vieler: Urteile des Bundesverwaltungsgerichts A-6181/2012 vom 3. September 2013 E. 2.10.4, mit Hinweis). 2.82.8.1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2.8.2 Das Bundesverwaltungsgericht überprüft das Vorliegen der Voraussetzungen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A-4922/2012 vom 14. Juni 2013 E. 2.9.2). Diese Praxis wurde vom Bundesgericht bestätigt (vgl. bereits Urteil des Bundesgerichts 2C_426/2007 vom 22. November 2007 E. 4.3, ferner: Urteil des Bundesgerichts 2C_970/2012 vom 1. April 2013 E. 4.3). 2.8.3 Für das Vorliegen der Voraussetzungen einer Ermessenseinschätzung ist nach der allgemeinen Beweislastregel die ESTV beweisbelastet (E. 1.4). Sind die Voraussetzungen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A-6181/2012 vom 3. September 2013 E. 2.11.3, A-5836/2012 vom 19. August 2013 E. 2.8.3, A 4750/2012 vom 22. Juli 2013 E. 2.4.3 und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3.1</w:t>
      </w:r>
    </w:p>
    <w:p>
      <w:r>
        <w:t>Im vorliegenden Fall hat die Vorinstanz die massgebenden Umsätze der Beschwerdeführerin ermessensweise ermittelt. Nachfolgend ist daher auf einer ersten Stufe zu prüfen, ob das Vorliegen der Voraussetzungen für eine Ermessenseinschätzung zu Recht bejaht wurde (vgl. E. 2.8.3).</w:t>
      </w:r>
    </w:p>
    <w:p>
      <w:r>
        <w:rPr>
          <w:b/>
        </w:rPr>
        <w:t>E. 3.1.1</w:t>
      </w:r>
    </w:p>
    <w:p>
      <w:r>
        <w:t>Da ein Taxibetrieb der vorliegenden Art naturgemäss bargeldintensiv ist (vgl. Urteil des Bundesgerichts 2C_569/2012 vom 6. Dezember 2012 E. 4; Urteile des Bundesverwaltungsgerichts A-4918/2012 vom 2. Juli 2013 E. 3.1, A-1933/2012 vom 20. November 2012 E. 3.1, A­4616/2011 vom 18. September 2012 E. 3.1, und A-689/2012 vom 31. Mai 2012 E. 3.1.1), wäre mehrwertsteuerrechtlich die Führung eines tagfertigen Kassabuches zwingend erforderlich gewesen und hätte die Beschwerdeführerin ihre Bareinnahmen und -ausgaben darin durch tägliche Kassenstürze kontrollieren müssen (vgl. zu den Anforderungen an das Kassabuch auch vorn E. 2.4.4). Bereits aufgrund des Fehlens eines solchen Kassabuches ist die Buchführung der Beschwerdeführerin mangelhaft. Es mangelt deshalb an den sachverhaltsmässigen Grundlagen zur Feststellung des zu besteuernden Umsatzes. Dies hat die Beschwerdeführerin denn auch im vorinstanzlichen Verfahren zu Recht nicht bestritten.</w:t>
      </w:r>
    </w:p>
    <w:p>
      <w:r>
        <w:rPr>
          <w:b/>
        </w:rPr>
        <w:t>E. 3.1.2</w:t>
      </w:r>
    </w:p>
    <w:p>
      <w:r>
        <w:t>Freilich macht die Beschwerdeführerin nunmehr geltend, es lägen Tagesrapporte in Form von aktenkundigen Tageszetteln vor. Weil diese Tageszettel die von den einzelnen Taxifahrern erzielten Tagesumsätze ausweisen würden, seien ihre Aufzeichnungen als vollständig und mit dem wirklichen Sachverhalt als übereinstimmend zu betrachten. Folglich habe die Vorinstanz zu Unrecht eine Ermessensveranlagung vorgenommen (vgl. Beschwerde, S. 2 f.). Entgegen dieser Darstellung der Beschwerdeführerin sind keine Tageszettel bzw. Aufzeichnungen zu den einzelnen Tagesumsätzen aktenkundig. Das Vorliegen solcher Tageszettel würde ohnehin nichts daran ändern, dass ihre Buchhaltung im massgebenden Zeitraum unvollständig war. Denn so oder anders fehlt es - wie ausgeführt - am erforderlichen Kassabuch, in welchem die Bareinnahmen und -ausgaben mittels Kassenstürzen täglich kontrolliert wurden (vgl. vorn E. 2.4.2). Da die Beschwerdeführerin offensichtlich kein solches Kassabuch geführt hat und im Übrigen auch nicht behauptet, die Tageszettel seien von ihr täglich kontrolliert und mit dem Bargeld abgestimmt worden, ist ihre Buchführung auf jeden Fall mangelhaft bzw. unvollständig. Zu erwähnen bleibt in diesem Zusammenhang, dass die Vorinstanz ihrer Untersuchungspflicht nachgekommen ist (E. 1.4), indem sie die Beschwerdeführerin mit Schreiben vom 9. Mai 2012 aufforderte, im vorliegenden Zusammenhang relevante Unterlagen einzureichen. Die Voraussetzungen für eine Ermessenseinschätzung (E. 2.5) waren demnach im Sinne der unter E. 2.5.2 hiervor dargelegten Konstellation 1 (ungenügende Aufzeichnungen) gegeben. Die Vorinstanz war deshalb nicht nur berechtigt, sondern verpflichtet, eine solche nach pflichtgemässem Ermessen vorzunehmen (E. 2.6.1).</w:t>
      </w:r>
    </w:p>
    <w:p>
      <w:r>
        <w:rPr>
          <w:b/>
        </w:rPr>
        <w:t>E. 3.2</w:t>
      </w:r>
    </w:p>
    <w:p>
      <w:r>
        <w:t>Auf einer zweiten Stufe gilt es nun - mit der gebotenen Zurückhaltung (E. 2.8.2) - zu prüfen, ob ein Ermessensfehler der Vorinstanz bei der fraglichen Schätzung erkennbar ist (E. 2.8.3).</w:t>
      </w:r>
    </w:p>
    <w:p>
      <w:r>
        <w:rPr>
          <w:b/>
        </w:rPr>
        <w:t>E. 3.2.1</w:t>
      </w:r>
    </w:p>
    <w:p>
      <w:r>
        <w:t>Die Vorinstanz berechnete zunächst das Total der in den jeweiligen Jahren mit den Geschäftsfahrzeugen der Beschwerdeführerin zurückgelegten Kilometer, und zwar für die Jahre 2005 bis 2008 mangels Fahrtenschreiberkarten anhand aktenkundiger Servicerechnungen sowie gestützt auf Prüfberichte der Motorfahrzeugkontrolle des Kantons Basel-Stadt. Für das Total der im Jahr 2009 gefahrenen Kilometer stellte sie auf anlässlich ihrer Kontrolle vor Ort vorgefundene Fahrtenschreiberkarten ab. Zur Ermittlung der geschäftlich gefahrenen Kilometer zog sie von diesem Total eine Pauschale von 100 Privatkilometern pro Arbeitswoche und Geschäftsfahrzeug ab. Als Privatfahrt subtrahierte sie vom Restbetrag zudem die von den einzelnen Taxifahrern der Beschwerdeführerin an 240 Arbeitstagen zurückgelegte Strecke von ihrem jeweiligen Wohnort bis zum Bahnhof Basel SBB und zurück. Weitere Privatkilometer berücksichtigte die Vorinstanz nicht, weil die Beschwerdeführerin keine Aufstellungen eingereicht habe, aus welchen sich ergeben würde, dass die hiervor erwähnte Pauschale von 100 Kilometern im vorliegenden Fall unangemessen sei. Die so ermittelten geschäftlich gefahrenen Kilometer pro Jahr multiplizierte die Vorinstanz mit dem Erfahrungswert von Fr. 2.15 Umsatz pro geschäftlich gefahrenem Kilometer. Diesen Erfahrungswert stützte die Vorinstanz auf 38 Datensätze betreffend Angestellte diverser Taxibetriebe in der Region Basel, welche einen durchschnittlichen Erfahrungswert von Fr. 2.04 Umsatz pro geschäftlich zurückgelegtem Kilometer aufwiesen. Laut dem "Einspracheentscheid" sei letzterer Durchschnittstarif (Mittelwert) auf Fr. 2.15 Umsatz pro geschäftlich gefahrenem Kilometer angehoben worden, um der Tatsache Rechnung zu tragen, dass in diesen Werten keine Trinkgelder enthalten seien. Diese Erhöhung entspreche einem geschätzten und durchaus plausiblen Trinkgeld von 5 % (vgl. E. 3.7 des "Einspracheentscheides"). Aus den hiervor genannten Berechnungen ergaben sich die massgebenden Jahresumsätze (2005: Fr. [...]; 2006: Fr. [...]; 2007: Fr. [...]; 2008: Fr. [...]; 2009: Fr. [...]). Da die ESTV in ihrer Einschätzungsmitteilung Nr. [...] gestützt auf den Treibstoffverbrauch der Fahrzeuge der Beschwerdeführerin von zu hohen steuerpflichtigen Umsätzen ausgegangen war, korrigierte sie im "Einspracheentscheid" auf der Grundlage der hiervor erwähnten massgebenden Jahresumsätze sowie unter Heranziehung des anwendbaren Steuersatzes (7,6 %) die verbleibende Steuerzahllast.</w:t>
      </w:r>
    </w:p>
    <w:p>
      <w:r>
        <w:rPr>
          <w:b/>
        </w:rPr>
        <w:t>E. 3.2.2</w:t>
      </w:r>
    </w:p>
    <w:p>
      <w:r>
        <w:t>Die Vorinstanz stützt ihre Berechnungen im "Einspracheentscheid" soweit möglich auf die vorhandenen objektiven Beweismittel. Sie legt in rechtsgenügender Weise dar, wie die Schätzung zustande gekommen ist. Insbesondere erscheint auch die Ermittlung der privat gefahrenen Kilometer nicht als offensichtlich pflichtwidrig. Dies gilt umso mehr, als die Anrechnung einer Pauschale von 100 Privatkilometern pro Woche dem Vorgehen der Vorinstanz in anderen, ähnlich gelagerten Fällen entspricht und die Gerichte diese Pauschale mehrfach als angemessen beurteilten (vgl. etwa die Urteile des Bundesverwaltungsgerichts A-5836/2012 vom 19. August 2013 E. 3.2.2, A-4616/2011 vom 18. September 2012 E. 3.2.2, A-6370/2011 vom 1. Juni 2012 E. 3.3.4, A-5166/2011 vom 3. Mai 2012 E. 3.3.1 sowie A-2690/2011 vom 24. Januar 2012 E. 3.4.4, letzteres bestätigt mit Urteil des Bundesgerichts 2C_206/2012 vom 6. September 2012 E. 4.1). Im Übrigen erscheint auch der von der Vorinstanz als Erfahrungswert herangezogene und in der Rechtsprechung bei konkreten Anwendungsakten in vergleichbaren Fällen mehrfach als bundesrechtskonform qualifizierte Ansatz von Fr. 2.15 pro geschäftlich gefahrenem Kilometer nicht als offensichtlich pflichtwidrig oder unzureichend begründet (vgl. Urteile des Bundesverwaltungsgerichts A-104/2013 vom 22. Juli 2013 E. 3.2.5, A­4918/2012 vom 2. Juli 2013 E. 3.3.3, A-1933/2012 vom 20. November 2012 E. 3.2.3, A-6370/2011 vom 1. Juni 2012 E. 3.4; entsprechend hat das Bundesgericht einen durchschnittlichen Kilometeransatz von Fr. 2.04 [ohne Trinkgeld] für unselbständig erwerbende Taxichauffeure bestätigt [Urteil des Bundesgerichts 2C_835/2011 vom 4. Juni 2012 E. 4.1]; vgl. sodann auch Urteil des Bundesgerichts 2C_569/2012 vom 6. Dezember 2012 E. 5). Die Schätzung der Vorinstanz erscheint demnach - insbesondere auch mit Blick auf die sachverhaltlichen Grundlagen - nicht als erkennbar pflichtwidrig und ist ausreichend begründet, um eine sachgerechte Anfechtung zu ermöglichen.</w:t>
      </w:r>
    </w:p>
    <w:p>
      <w:r>
        <w:rPr>
          <w:b/>
        </w:rPr>
        <w:t>E. 3.3</w:t>
      </w:r>
    </w:p>
    <w:p>
      <w:r>
        <w:t>Die bisherigen Ausführungen ergeben, dass die Vorinstanz zur Vornahme einer Ermessenseinschätzung berechtigt war (s. E. 3.1) und diese - soweit erkennbar - pflichtgemäss vorgenommen hat (s. E. 3.2). Unter diesen Umständen obliegt es nun auf einer dritten Stufe der Beschwerdeführerin nachzuweisen, dass die Schätzung der Vorinstanz offensichtlich unrichtig ist bzw. dass dieser dabei erhebliche Ermessensfehler unterlaufen sind (E. 2.8.3).</w:t>
      </w:r>
    </w:p>
    <w:p>
      <w:r>
        <w:rPr>
          <w:b/>
        </w:rPr>
        <w:t>E. 3.3.1</w:t>
      </w:r>
    </w:p>
    <w:p>
      <w:r>
        <w:t>Die Beschwerdeführerin bringt diesbezüglich vor, es seien über die von der Vorinstanz bestimmte Zahl an Privatkilometern hinaus zusätzlich weitere 24'000 Kilometer pro Jahr als Privatfahrten zu berücksichtigen. Die Herren B._______, C._______ und D._______ seien nämlich mit den Geschäftswagen der Beschwerdeführerin jeweils während den Sommerferien für Verwandtenbesuche nach E._______ in Spanien gereist. Dieser Ort liege gemäss dem eingereichten Auszug aus dem Routenplaner rund 2'200 Kilometer von Basel entfernt. Bei den entsprechenden Reisen seien jeweils in Spanien weitere Privatfahrten im Umfang von rund 3'600 Kilometern pro Fahrzeug und Jahr unternommen worden, und zwar unter anderem nach F._______. Die Beschwerdeführerin stellte in diesem Zusammenhang - wie erwähnt (vorn Bst. E) - in Aussicht, als Beweis Abrechnungen bzw. Belege für Tankkartenbezüge nachzureichen. Die Beschwerdeführerin ist zunächst darauf hinzuweisen, dass Taxichauffeure der Verordnung vom 6. Mai 1981 über die Arbeits- und Ruhezeit der berufsmässigen Führer von leichten Personentransportfahrzeugen und schweren Personenwagen (ARV 2, SR 822.222) unterstehen (vgl. zum Geltungsbereich Art. 1 der Verordnung). Nach Art. 15 Abs. 1 und 2 ARV 2 hat ein Taxifahrer ständig einen sog. "Fahrtenschreiber" in Betrieb zu halten und bei Privatfahrten die Pausenstellung (Stellung "0" oder "Stuhl") zu wählen. Lässt die Pausenstellung keine eindeutige Unterscheidung zwischen privaten und berufsmässigen Fahrten zu, hat der Chauffeur nach der seit 1. November 2006 geltenden Fassung von Art. 15 Abs. 2 ARV 2 (AS 2006 1701) eine fortlaufende Kontrolle über die von ihm getätigten Privatfahrten zu führen. Sollte die Beschwerdeführerin für ihre Fahrzeuge Fahrtenschreiber benutzt haben, welche eine Unterscheidung zwischen privat und beruflich gefahrenen Kilometern erlaubten, wäre es ihr bei deren korrekter Handhabung durchaus möglich gewesen, die im hier interessierenden Zeitraum gefahrenen Privatkilometer nachzuweisen (vgl. Urteil des Bundesgerichts 2A.109/2005 vom 10. März 2006 E. 4.4). Selbst wenn sie keinen entsprechenden Fahrtenschreiber eingesetzt hätte, hätte es ihr oblegen, ihre privat gefahrenen Kilometer - beispielsweise mit einer fortlaufenden Kontrolle - nachzuweisen. Letzteres gilt unabhängig davon, ob sie aufgrund von Art. 15 Abs. 2 ARV 2 zur Führung einer entsprechenden Kontrolle verpflichtet war (vgl. Urteil des Bundesverwaltungsgerichts A­4918/2012 vom 2. Juli 2013 E. 3.2.4). Die Beschwerdeführerin hat jedoch weder - Geschäfts- von Privatfahrten unterscheidende - Fahrtenschreiberscheiben vorgelegt noch ihre (bzw. die mit ihren Geschäftsfahrzeugen zurückgelegten) Privatkilometer mit einer fortlaufenden Kontrolle nachgewiesen. Zwar wurden anlässlich der vorinstanzlichen Kontrolle bei der Beschwerdeführerin Fahrtenschreiberkarten betreffend das Jahr 2009 vorgefunden. Freilich ist nicht aus den Akten ersichtlich und wurde auch nicht substantiiert behauptet, dass diesen Fahrtenschreiberkarten die Zahl der im Jahr 2009 privat gefahrenen Kilometer zu entnehmen ist. Es kann im Übrigen in antizipierter Beweiswürdigung (vgl. vorn E. 1.5) darauf verzichtet werden, die von der Beschwerdeführerin genannten (bis heute nicht nachgereichten) Abrechnungen bzw. Belege betreffend Tankkartenbezüge einzufordern bzw. als Beweismittel abzunehmen. Denn die entsprechenden Abrechnungen vermöchten ohnehin weder für sich allein noch mit dem aktenkundigen Auszug aus dem Routenplaner die angeblich mit den Geschäftsfahrzeugen gefahrenen Ferienkilometer zu beweisen. Denn aus solchen Abrechnungen geht regelmässig nicht hervor, welche Fahrzeuge betankt wurden. Es muss deshalb davon ausgegangen werden, dass den entsprechenden Unterlagen nicht entnommen werden kann, ob sich die Geschäftsfahrzeuge der Beschwerdeführerin - wie von ihr behauptet - während den Ferien in Spanien befanden. Mangels anderer stichhaltiger Beweismittel ist vorliegend keine Fehlerhaftigkeit der vorinstanzlichen Schätzung der privat gefahrenen Kilometer nachgewiesen. Weil die Beschwerdeführerin die Beweislast für die Unrichtigkeit der Schätzung trägt (vorn E. 2.8.3), ist die dem "Einspracheentscheid" zugrunde gelegte Zahl privat gefahrener Kilometer somit rechtskonform.</w:t>
      </w:r>
    </w:p>
    <w:p>
      <w:r>
        <w:rPr>
          <w:b/>
        </w:rPr>
        <w:t>E. 3.3.2</w:t>
      </w:r>
    </w:p>
    <w:p>
      <w:r>
        <w:t>Die Beschwerdeführerin macht im Übrigen zum Nachweis der Unrichtigkeit der Ermessenseinschätzung der Vorinstanz geltend, der angewendete Ansatz von Fr. 2.15 Umsatz pro geschäftlich zurückgelegtem Kilometer sei im vorliegenden Fall zu hoch, weil die ESTV diesen Ansatz auch bei den Angestellten der Beschwerdeführerin (insbesondere G._______) angewendet habe, obschon diese ihr Trinkgeld nicht hätten abliefern müssen. Bei ihren angestellten Taxifahrern sei richtigerweise der Ansatz von Fr. 2.04 Umsatz pro geschäftlich gefahrenem Kilometer anzuwenden (vgl. Beschwerde, S. 3 f.). Zum Beweis ihrer Behauptung, ihre Angestellten hätten ihr Trinkgeld nicht abliefern müssen, legt die Beschwerdeführerin drei dahingehend lautende, allesamt auf den 7. Februar 2013 datierende Bestätigungen ihrer Angestellten ins Recht (vgl. Beschwerdebeilage 6). Gemäss Art. 33 Abs. 2 aMWSTG gehört zum Entgelt alles, was der Empfänger oder an seiner Stelle ein Dritter als Gegenleistung für die Lieferung oder Dienstleistung aufwendet. Der Fahrgast zahlt dem selbständigen Taxifahrer für die von diesem erbrachte Dienstleistung das Fahrgeld sowie allenfalls ein Trinkgeld. Letzteres ist somit Teil des Entgelts, das gemäss Art. 33 Abs. 1 aMWSTG die Bemessungsgrundlage für die Steuer bildet. Trinkgelder, welche angestellte Taxifahrer einnehmen, sind jedenfalls dann, wenn sie an den Arbeitgeber abzuliefern sind, ebenfalls als Entgelt im Sinn von Art. 33 Abs. 2 aMWSTG zu qualifizieren (vgl. Urteile des Bundesverwaltungsgerichts A-4918/2012 vom 2. Juli 2013 E. 3.3.4 und A­2690/2011 vom 24. Januar 2012 E. 3.5.3). Den vorhandenen Akten ist nicht zu entnehmen, ob die Angestellten der Beschwerdeführerin ihr die eingenommenen Trinkgelder abzuliefern hatten. Insbesondere geben die vorhandenen Lohnabrechnungen, Lohnbescheinigungen sowie Kontenauszüge darüber keinen Aufschluss. Die erst mit der Beschwerde eingereichten Bestätigungen der Arbeitnehmer der Beschwerdeführerin erscheinen nicht als geeignet, das Fehlen einer Ablieferungspflicht für Trinkgelder zu belegen. Denn zum einen fehlt Personen, welche Angestellte der Beschwerdeführerin sind, die notwendige Unabhängigkeit, so dass deren Aussagen durch das Bundesverwaltungsgericht ohnehin mit Zurückhaltung zu würdigen sind (vgl. Urteile des Bundesverwaltungsgerichts A-6188/2012 vom 3. September 2013 E. 3.2.3, A­1562/2006 vom 26. September 2008 E. 3.2.5.4). Zum anderen kommt Dokumenten, die - wie die fraglichen Bestätigungen - erst nach der Kontrolle der ESTV erstellt worden sind, nach der Rechtsprechung von vornherein nur ein stark eingeschränkter Beweiswert zu (vgl. Urteile des Bundesverwaltungsgerichts A-4918/2012 vom 2. Juli 2013 E. 3.2.3, A-1933/2012 vom 20. November 2012 E. 3.2.2.2, mit Hinweisen). Im Übrigen hat die Beschwerdeführerin weder Arbeitsverträge noch vergleichbare Unterlagen eingereicht, welche Aufschluss über das Bestehen einer Ablieferungspflicht geben könnten. Vor diesem Hintergrund muss, weil die Beschwerdeführerin die Beweislast für die Unrichtigkeit der Schätzung trägt (E. 2.8.3), zu ihren Ungunsten von einer Ablieferungspflicht ausgegangen werden (vgl. auch Urteile des Bundesverwaltungsgerichts A-4918/2012 vom 2. Juli 2013 E. 3.3.4, A-2690/2011 vom 24. Januar 2012 E. 3.5.3). Auch bei den Fahrten ihrer Angestellten ist demnach das Trinkgeld als Entgelt im Sinn von Art. 33 Abs. 2 aMWSTG zu betrachten. Somit kann dahingestellt bleiben, ob Trinkgelder nicht auch bei Fehlen einer Ablieferungspflicht der Angestellten in die mehrwertsteuerlich relevante Bemessungsgrundlage einzubeziehen wären. Die ESTV hat folglich zu Recht auch bei Fahrten der Angestellten der Beschwerdeführerin einen Zuschlag für das geschätzte Trinkgeld vorgenommen.</w:t>
      </w:r>
    </w:p>
    <w:p>
      <w:r>
        <w:rPr>
          <w:b/>
        </w:rPr>
        <w:t>E. 3.4</w:t>
      </w:r>
    </w:p>
    <w:p>
      <w:r>
        <w:t>Im Ergebnis misslingt der Beschwerdeführerin der Nachweis der offensichtlichen Unrichtigkeit der vorinstanzlichen Schätzung. Der angefochtene "Einspracheentscheid" erweist sich somit insgesamt als rechtmässig und die dagegen erhobene Beschwerde ist abzuweisen.</w:t>
      </w:r>
    </w:p>
    <w:p>
      <w:r>
        <w:rPr>
          <w:b/>
        </w:rPr>
        <w:t>E. 4</w:t>
      </w:r>
    </w:p>
    <w:p>
      <w:r>
        <w:t>Ausgangsgemäss sind die Verfahrenskosten, die auf Fr. 2'500.- festzusetzen sind, der Beschwerdeführerin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