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A-6655/2023 vom 14. Dezember 2023</w:t>
      </w:r>
    </w:p>
    <w:p>
      <w:r>
        <w:t>Bundesverwaltungsgericht, 2023-12-14, FR</w:t>
      </w:r>
    </w:p>
    <w:p>
      <w:r>
        <w:rPr>
          <w:b/>
        </w:rPr>
        <w:t xml:space="preserve">Quelle: </w:t>
      </w:r>
      <w:r>
        <w:t>https://mcp.opencaselaw.ch/entscheid/bvger_A-6655_2023</w:t>
      </w:r>
    </w:p>
    <w:p>
      <w:r>
        <w:t>FR: TAF A-6655/2023 du 14 décembre 2023</w:t>
      </w:r>
    </w:p>
    <w:p>
      <w:r>
        <w:t>IT: TAF A-6655/2023 del 14 dicembre 2023</w:t>
      </w:r>
    </w:p>
    <w:p>
      <w:pPr>
        <w:pStyle w:val="Heading2"/>
      </w:pPr>
      <w:r>
        <w:t>Regeste</w:t>
      </w:r>
    </w:p>
    <w:p>
      <w:r>
        <w:t>Frais de procédure</w:t>
      </w:r>
    </w:p>
    <w:p>
      <w:pPr>
        <w:pStyle w:val="Heading2"/>
      </w:pPr>
      <w:r>
        <w:t>Erwägungen</w:t>
      </w:r>
    </w:p>
    <w:p>
      <w:r>
        <w:rPr>
          <w:b/>
        </w:rPr>
        <w:t>E. 1</w:t>
      </w:r>
    </w:p>
    <w:p>
      <w:r>
        <w:t>A._______</w:t>
      </w:r>
    </w:p>
    <w:p>
      <w:r>
        <w:rPr>
          <w:b/>
        </w:rPr>
        <w:t>E. 1.1</w:t>
      </w:r>
    </w:p>
    <w:p>
      <w:r>
        <w:t>que selon l'art. 63 al. 1 PA applicable en vertu du renvoi de l'art. 37 LTAF, les frais de procédure comprenant l'émolument d'arrêté, les émolu- ments de chancellerie et les débours sont en règle générale mis, dans le dispositif, à la charge de la partie qui succombe ; que si celle-ci n'est dé- 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t>A-6655/2023 Page 3</w:t>
      </w:r>
    </w:p>
    <w:p>
      <w:r>
        <w:rPr>
          <w:b/>
        </w:rPr>
        <w:t>E. 1.2</w:t>
      </w:r>
    </w:p>
    <w:p>
      <w:r>
        <w:t>qu'il convient de calculer la répartition des frais de la procédure A-5920/2020 sur la base de l'issue finale de celle-ci, telle qu'elle découle de l'arrêt du TF 9C_668/2022 précité,</w:t>
      </w:r>
    </w:p>
    <w:p>
      <w:r>
        <w:rPr>
          <w:b/>
        </w:rPr>
        <w:t>E. 2</w:t>
      </w:r>
    </w:p>
    <w:p>
      <w:r>
        <w:t>Une indemnité de dépens d’un total de 2'320 francs est allouée aux recou- rants. Une part de cette indemnité, soit 1'120 francs, est mise à la charge de l’Administration fédérale des contributions et de l’Administration fiscale du canton de Genève ; solidairement par moitié chacune.</w:t>
      </w:r>
    </w:p>
    <w:p>
      <w:r>
        <w:rPr>
          <w:b/>
        </w:rPr>
        <w:t>E. 3</w:t>
      </w:r>
    </w:p>
    <w:p>
      <w:r>
        <w:t>La part des frais de procédure de 750 francs et celle de l’indemnité de dé- pens de 1'200 francs, à la charge de l’ Administration fiscale du canton de Genève ont été fixées par les ch. 3 et 4 du dispositif de l’arrêt A-5920/2020, entrés en force sans être entrepris devant le Tribunal fédéral pour cette partie.</w:t>
      </w:r>
    </w:p>
    <w:p>
      <w:r>
        <w:rPr>
          <w:b/>
        </w:rPr>
        <w:t>E. 4</w:t>
      </w:r>
    </w:p>
    <w:p>
      <w:r>
        <w:t>Le présent arrêt est adressé aux recourants, aux intimées et à l'autorité inférieure. L'indication des voies de droit se trouve à la page suivante. La présidente du collège : La greffière :</w:t>
      </w:r>
    </w:p>
    <w:p>
      <w:r>
        <w:t>Annie Rochat Pauchard Valérie Humbert</w:t>
      </w:r>
    </w:p>
    <w:p>
      <w:r>
        <w:t>A-6655/2023 Page 6</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 vent être joints au mémoire, pour autant qu'ils soient en mains de la partie recourante (art. 42 LTF).</w:t>
      </w:r>
    </w:p>
    <w:p>
      <w:r>
        <w:t>Expédition :</w:t>
      </w:r>
    </w:p>
    <w:p>
      <w:r>
        <w:t>A-6655/2023 Page 7 Le présent arrêt est adressé : – aux recourants (acte judiciaire) – aux intimées (acte judiciaire) – à l'autorité inférieure (n° de réf.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