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A-6648/2014 vom 17. März 2015</w:t>
      </w:r>
    </w:p>
    <w:p>
      <w:r>
        <w:t>Bundesverwaltungsgericht, 2015-03-17, DE</w:t>
      </w:r>
    </w:p>
    <w:p>
      <w:r>
        <w:rPr>
          <w:b/>
        </w:rPr>
        <w:t xml:space="preserve">Quelle: </w:t>
      </w:r>
      <w:r>
        <w:t>https://mcp.opencaselaw.ch/entscheid/bvger_A-6648_2014</w:t>
      </w:r>
    </w:p>
    <w:p>
      <w:r>
        <w:t>FR: TAF A-6648/2014 du 17 mars 2015</w:t>
      </w:r>
    </w:p>
    <w:p>
      <w:r>
        <w:t>IT: TAF A-6648/2014 del 17 marzo 2015</w:t>
      </w:r>
    </w:p>
    <w:p>
      <w:pPr>
        <w:pStyle w:val="Heading2"/>
      </w:pPr>
      <w:r>
        <w:t>Regeste</w:t>
      </w:r>
    </w:p>
    <w:p>
      <w:r>
        <w:t>Amtshilfe</w:t>
      </w:r>
    </w:p>
    <w:p>
      <w:pPr>
        <w:pStyle w:val="Heading2"/>
      </w:pPr>
      <w:r>
        <w:t>Erwägungen</w:t>
      </w:r>
    </w:p>
    <w:p>
      <w:r>
        <w:rPr>
          <w:b/>
        </w:rPr>
        <w:t>E. 1</w:t>
      </w:r>
    </w:p>
    <w:p>
      <w:r>
        <w:t>Der Antrag auf Vereinigung des vorliegenden Verfahrens mit dem Verfahren A­6652/2014 wird abgewiesen.</w:t>
      </w:r>
    </w:p>
    <w:p>
      <w:r>
        <w:rPr>
          <w:b/>
        </w:rPr>
        <w:t>E. 2</w:t>
      </w:r>
    </w:p>
    <w:p>
      <w:r>
        <w:t>Die Beschwerde wird teilweise gutgeheissen. Die ESTV wird angewiesen, die Kontoeröffnungsbestätigung und die Belastungsanzeigen der X._______ Kantonalbank, welche auf dem in Dispositiv-Ziff. 2 Bst. b und c ihrer Schlussverfügung vom 13. Oktober 2014 genannten USB-Stick gespeichert sind, nicht an die DGFP zu übermitteln. Im Übrigen wird die Beschwerde, soweit nicht gegenstandslos geworden, abgewiesen.</w:t>
      </w:r>
    </w:p>
    <w:p>
      <w:r>
        <w:rPr>
          <w:b/>
        </w:rPr>
        <w:t>E. 3</w:t>
      </w:r>
    </w:p>
    <w:p>
      <w:r>
        <w:t>Die Verfahrenskosten von Fr. 2'000.- werden der Beschwerdeführerin im Umfang von Fr. 500.- auferlegt. Der Betrag von Fr. 500.- wird dem Kostenvorschuss entnommen. Der Restbetrag von Fr. 1'500.- wird der Beschwerdeführerin nach Eintritt der Rechtskraft des vorliegenden Urteils zurückerstattet.</w:t>
      </w:r>
    </w:p>
    <w:p>
      <w:r>
        <w:rPr>
          <w:b/>
        </w:rPr>
        <w:t>E. 4</w:t>
      </w:r>
    </w:p>
    <w:p>
      <w:r>
        <w:t>Die Vorinstanz wird verpflichtet, der Beschwerdeführerin eine reduzierte Parteientschädigung in der Höhe von Fr. 2'250.- zu bezahlen.</w:t>
      </w:r>
    </w:p>
    <w:p>
      <w:r>
        <w:rPr>
          <w:b/>
        </w:rPr>
        <w:t>E. 5</w:t>
      </w:r>
    </w:p>
    <w:p>
      <w:r>
        <w:t>Dieses Urteil geht an: - die Beschwerdeführerin (Gerichtsurkunde); - die Vorinstanz (Ref.-Nr. ...; Gerichtsurkunde). Der vorsitzende Richter: Der Gerichtsschreiber: Daniel Riedo Beat König Rechtsmittelbelehrung: Gegen einen Entscheid auf dem Gebiet der internationalen Amtshilfe in Steuersachen kann innert 10 Tagen nach Eröffnung nur dann beim Bundesgericht, 1000 Lausanne 14, Beschwerde in öffentlich-rechtlichen Angelegenheiten geführt werden, wenn sich eine Rechtsfrage von grundsätzlicher Bedeutung stellt oder wenn es sich aus anderen Gründen um einen besonders bedeutenden Fall im Sinne von Art. 84 Abs. 2 BGG handelt (Art. 82, Art. 83 Bst. h, Art. 84a, Art. 90 ff. und Art. 100 Abs. 2 Bst. b BGG). In der Rechtsschrift ist auszuführen, warum die jeweilige Voraussetzung erfüllt ist. Im Übrigen ist die Rechtsschrift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