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A-6642/2013 vom 27. Januar 2015</w:t>
      </w:r>
    </w:p>
    <w:p>
      <w:r>
        <w:t>Bundesverwaltungsgericht, 2015-01-27, IT</w:t>
      </w:r>
    </w:p>
    <w:p>
      <w:r>
        <w:rPr>
          <w:b/>
        </w:rPr>
        <w:t xml:space="preserve">Quelle: </w:t>
      </w:r>
      <w:r>
        <w:t>https://mcp.opencaselaw.ch/entscheid/bvger_A-6642_2013</w:t>
      </w:r>
    </w:p>
    <w:p>
      <w:r>
        <w:t>FR: TAF A-6642/2013 du 27 janvier 2015</w:t>
      </w:r>
    </w:p>
    <w:p>
      <w:r>
        <w:t>IT: TAF A-6642/2013 del 27 gennaio 2015</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29 ottobre 2013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 destinatario della decisione impugnata (art. 22 segg., 48 e 50 PA), il ricorso adempie alle esigenze di forma e di contenuto previste all'art. 52 PA. Occorre pertanto entrare nel merito.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Basilea 2013, n. 3.198).</w:t>
      </w:r>
    </w:p>
    <w:p>
      <w:r>
        <w:rPr>
          <w:b/>
        </w:rPr>
        <w:t>E. 3</w:t>
      </w:r>
    </w:p>
    <w:p>
      <w:r>
        <w:t>Nella fattispecie, il ricorrente ha chiesto di annullare la "sanzione di multa" comminata con la decisione dell'ESTI del 29 ottobre 2013. Nella misura in cui, però, il predetto RaSI è stato prodotto dal ricorrente in data 6 gennaio 2014 (e quindi dopo il termine fissato dall'ESTI; cfr. consid. di fatto G), la questione a sapere se detto rapporto deve essere consegnato non è più litigiosa. Resta invece da esaminare se, al momento dell'atto impugnato, la decisione era fondata e quindi se a giusto titolo l'autorità di prima istanza ha addossato spese procedurali al ricorrente.</w:t>
      </w:r>
    </w:p>
    <w:p>
      <w:r>
        <w:rPr>
          <w:b/>
        </w:rPr>
        <w:t>E. 4</w:t>
      </w:r>
    </w:p>
    <w:p>
      <w:r>
        <w:t>Secondo l'art. 20 cpv. 1 LIE, la vigilanza sugl'impianti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Se, dopo due diffide, il rapporto di sicurezza non è stato presentato entro il termine stabilito, il gestore della rete affida all'ESTI l'esecuzione dei controlli periodici (art. 36 cpv. 3 OIBT). In proposito la giurisprudenza ha rilevato che il presupposto per un rinvio della pratica all'ESTI è l'invio, senza riscontro, di tre lettere - la richiesta più due solleciti - da parte del gestore di rete (cfr. Sentenza del Tribunale amministrativo federale A 2470/2010 del 20 luglio 2010 consid. 5.2). Sulla base delle disposizioni sopra menzionate,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Sentenze del Tribunale amministrativo federale A 6178/2009 del 22 febbraio 2010 consid. 3.2, A 7151/2008 del 10 febbraio 2009 consid. 3.2 e A-6150/2009 del 21 gennaio 2010 consid. 6.3). Secondo l'art. 36 cpv. 1 OIBT, "i gestori di rete invitano per scritto, almeno sei mesi prima della scadenza di un periodo di controllo, i proprietari degli impianti alimentati dalle loro reti a presentare un rapporto di sicurezza conformemente all'articolo 37 prima della fine del periodo di controllo". E secondo il capoverso della del medesimo art. 36 OIBT, "questo termine può essere prorogato di un anno al massimo dopo la scadenza del periodo di controllo stabilito. Se, dopo due diffide, il rapporto di sicurezza non è stato presentato entro il termine stabilito, il gestore della rete affida all'Ispettorato l'esecuzione dei controlli periodici". Secondo la giurisprudenza dello scrivente Tribunale, la richiesta ed i due richiami del gestore di rete sono un presupposto formale necessario per l'apertura della procedura dinanzi l'ESTI (cfr. Sentenza A-5256/2010, dell'11 febbraio 2011, consid. 5). Essi devono forzatamente essere stati ricevuti dal proprietario prima che si possa avviare una procedura quale quella qui in oggetto.</w:t>
      </w:r>
    </w:p>
    <w:p>
      <w:r>
        <w:rPr>
          <w:b/>
        </w:rPr>
        <w:t>E. 5.1</w:t>
      </w:r>
    </w:p>
    <w:p>
      <w:r>
        <w:t>Nel proprio gravame il ricorrente sostiene di aver ricevuto unicamente la richiesta di presentazione del rapporto di sicurezza da parte dell'ESTI - del 19 marzo 2013 - recante un'erronea indicazione dell'immobile, e successivamente dopo richiesta di precisazione nel maggio 2013, una decisione (tramite scritto raccomandato) del 28 [recte 29] ottobre 2013 in cui l'autorità federale fissava al 3 gennaio 2014 un ulteriore termine per la presentazione del documento richiesto, come pure venivano addossati 600 franchi a titolo di tassa per l'emanazione della decisione.</w:t>
      </w:r>
    </w:p>
    <w:p>
      <w:r>
        <w:rPr>
          <w:b/>
        </w:rPr>
        <w:t>E. 5.2</w:t>
      </w:r>
    </w:p>
    <w:p>
      <w:r>
        <w:t>L'autorità inferiore ha dichiarato invece che il gestore di rete ha sollecitato al ricorrente il rapporto di controllo degli impianti elettrici con scritti del 23 marzo 2010, 6 ottobre 2010 e 19 aprile 2012, trasmessi al medesimo recapito postale della decisione qui impugnata. L'ESTI ha pure evidenziato che, susseguentemente al trasferimento della pratica da parte del gestore di rete giusta l'art. 36 OIBT, nuovi solleciti datati 19 marzo (con errata indicazione dell'immobile oggetto di controllo) e 26 giugno 2013 (con indicazione corretta dell'immobile) sono stati trasmessi a A._______.</w:t>
      </w:r>
    </w:p>
    <w:p>
      <w:r>
        <w:rPr>
          <w:b/>
        </w:rPr>
        <w:t>E. 5.3</w:t>
      </w:r>
    </w:p>
    <w:p>
      <w:r>
        <w:t>Nella procedura amministrativa vale il principio inquisitorio secondo cui l'autorità accerta i fatti d'ufficio (art. 12 PA); in determinate circostanze le parti sono tenute a collaborare (art. 13 PA). Esse, tuttavia, non sono gravate da un vero e proprio fardello della prova come in diritto civile (Moser/Beusch/Kneubühler, op. cit., n. 3.119 e 3.149). Il Tribunale amministrativo federale apprezza liberamente i mezzi di prova offerti (art. 40 della legge federale del 4 dicembre 1947 di procedura civile [PC, SR 273] in relazione con l'art. 19 PA). La prova è addotta quando il Tribunale, fondandosi sull'apprezzamento delle prove in base a criteri oggettivi, giunge al convincimento che i fatti si sono realizzati (Moser/Beusch/Kneubühler, op. cit., n. 3.141).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 Tuttavia, nel caso in cui l'apprezzamento delle prove convinca l'autorità che un'allegazione di fatto è stata stabilita o rifiutata, la ripartizione dell'onere della prova diviene senza oggetto (cfr. DTF 131 III 222 consid. 4.3 e rif. cit.).</w:t>
      </w:r>
    </w:p>
    <w:p>
      <w:r>
        <w:rPr>
          <w:b/>
        </w:rPr>
        <w:t>E. 5.4</w:t>
      </w:r>
    </w:p>
    <w:p>
      <w:r>
        <w:t>In casu, dagli atti di causa, non emerge però alcun documento probatorio circa le avvenute notifiche dei singoli scritti inviati dal gestore di rete al ricorrente e della lettera di trasferimento della pratica del 21 dicembre 2012 inoltrata dal gestore di rete, nella quale è fatto riferimento alla richiesta del rapporto di sicurezza e dei relativi richiami. Inoltre, pur tenendo conto di tutte le circostanze, una tale notifica non si evince nemmeno da altri indizi. Anche volendo considerare l'atteggiamento poco collaborativo del ricorrente (vedi scambio di posta elettronica dello stesso ricorrente con l'autorità di prima istanza, del 21 maggio 2013, doc. 6 dell'incarto di prima istanza, dal quale non si evince la minima buona volontà ad orientare l'autorità di prima istanza, caduta precedentemente nell'errore di designazione esatta dell'immobile), le sue dichiarazioni sono sempre state coerenti circa l'assenza di lettere recapitategli da parte del gestore di rete. Anche altri mezzi di prova infine non cambierebbero - pure in applicazione del principio inquisitorio dell'art. 12 PA - la sostanza delle cose, posto che le lettere citate sono state spedite con posta semplice e non per raccomandata. Visto quanto precede, il ricorso - nella misura in cui è ricevibile - dev'essere ammesso e la decisione impugnata annullata per quanto riguarda le spese procedurali (e non una multa) messe a carico del ricorrente, unico punto litigioso nella presente causa (cfr. prec. consid. 3.3). 6.In considerazione dell'esito della lite, che vede soccombente l'autorità inferiore, non si prelevano spese processuali (art. 63 cpv. 1 e 2 PA). Ad avvenuta crescita in giudicato del presente giudizio, l'anticipo spese di 500 franchi versato dal ricorrente il 23 dicembre 2013, gli verrà restituito integralmente, previa indicazione delle sue coordinate bancarie o postali. Non si giustifica tuttavia l'assegnazione di ripetibili al ricorrente (art. 64 cpv. 1 PA a contrario ; rispettivamente art. 7 cpv. 1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