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A-6638/2010 vom 9. Mai 2011</w:t>
      </w:r>
    </w:p>
    <w:p>
      <w:r>
        <w:t>Bundesverwaltungsgericht, 2011-05-09, DE</w:t>
      </w:r>
    </w:p>
    <w:p>
      <w:r>
        <w:rPr>
          <w:b/>
        </w:rPr>
        <w:t xml:space="preserve">Quelle: </w:t>
      </w:r>
      <w:r>
        <w:t>https://mcp.opencaselaw.ch/entscheid/bvger_A-6638_2010</w:t>
      </w:r>
    </w:p>
    <w:p>
      <w:r>
        <w:t>FR: TAF A-6638/2010 du 9 mai 2011</w:t>
      </w:r>
    </w:p>
    <w:p>
      <w:r>
        <w:t>IT: TAF A-6638/2010 del 9 maggio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teilweise publiziert in BVGE 2010/40,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teilweise publiziert in BVGE 2010/40,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A-6676/2010 vom 8. April 2011 E. 3.1 mit Hinweisen). In der Folge obliegt es dem vom Amtshilfeverfahren Betroffenen, den begründeten Tatverdacht klarerweise und entscheidend zu entkräften. Gelingt ihm dies, ist die Amtshilfe zu verweigern (BGE 128 II 407 E. 5.2.3; Urteil des Bundesverwaltungsgerichts A-4013/2010 vom 15. Juli 2010, teilweise publiziert in BVGE 2010/40,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A-6676/2010 vom 8. April 2011 E. 3.2, mit Hinweisen).</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(vgl. bestätigend Urteile des Bun­desverwaltungsgerichts A-6676/2010 vom 8. April 2011 E. 3.3, A-6576/2010 vom 21. März 2011 E. 2.2, je mit Hinweisen).</w:t>
      </w:r>
    </w:p>
    <w:p>
      <w:r>
        <w:rPr>
          <w:b/>
        </w:rPr>
        <w:t>E. 3.1</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sodann, wann ein "Betrugsdelikt und dergleichen" vorliegt und somit Amtshilfe zu leisten ist. Dies trifft zu in Fällen des Verdachts auf fortgesetzte und schwere Steuerdelikte,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Fr. 100'000.--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teilweise publiziert in BVGE 2010/40, E. 8.3.1).</w:t>
      </w:r>
    </w:p>
    <w:p>
      <w:r>
        <w:rPr>
          <w:b/>
        </w:rPr>
        <w:t>E. 3.2</w:t>
      </w:r>
    </w:p>
    <w:p>
      <w:r>
        <w:t>Zum vornherein ins Leere zielt das Vorbringen des Beschwerdeführers, die streitbetroffene Bankbeziehung falle nicht unter das Amtshilfeabkommen, da er sie vor dem Jahr 2000 auf den X. [Angabe eines Staates] gegründet habe. Der Staatsvertrag 10 stellt bei der Frage, ob Amtshilfe an die US-amerikani­schen Steuerbehörden zu leisten ist, nicht auf das Jahr und den Ort der Begründung der Bankbeziehung ab.</w:t>
      </w:r>
    </w:p>
    <w:p>
      <w:r>
        <w:rPr>
          <w:b/>
        </w:rPr>
        <w:t>E. 4</w:t>
      </w:r>
    </w:p>
    <w:p>
      <w:r>
        <w:t>Der Beschwerdeführer bestreitet, im abkommensrelevanten Zeitpunkt in den USA Wohnsitz gehabt zu haben, was Voraussetzung für die Gewäh­rung von Amtshilfe sei.</w:t>
      </w:r>
    </w:p>
    <w:p>
      <w:r>
        <w:rPr>
          <w:b/>
        </w:rPr>
        <w:t>E. 4.1</w:t>
      </w:r>
    </w:p>
    <w:p>
      <w:r>
        <w:t>Im bereits erwähnten Grundsatzurteil A-4911/2010 vom 30. November 2010 entschied das Bundesverwaltungsgericht, dass der im Staats­vertrag 10 verwendete Begriff "US domiciled" nicht nach der Auslegungsregel von Art. 3 Abs. 2 DBA-USA 96, sondern nach den allgemeinen Auslegungsbestimmungen von Art. 31 ff. VRK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Lebensmittel­punktes des Steuerpflichtigen gelten insbesondere der Ort der dauernden Wohnstätte, der Arbeitsort, der Aufenthaltsort der Familie sowie der Ort, wo die Schriften hinterlegt sind (E. 5.2 und 5.3). Eine vom Amtshilfeverfahren betroffene Person gilt demnach als "US domiciled", wenn sie dort im abkommensrelevanten Zeitpunkt nach den dargelegten Kriterien ihren Lebensmittelpunkt resp. überwiegend ihren Lebensmittelpunkt hatte (E. 5.4).</w:t>
      </w:r>
    </w:p>
    <w:p>
      <w:r>
        <w:rPr>
          <w:b/>
        </w:rPr>
        <w:t>E. 4.2</w:t>
      </w:r>
    </w:p>
    <w:p>
      <w:r>
        <w:t>Die Voraussetzung des "US domicile" gemäss Ziff. 2/A/b des Anhangs zum Staatsvertrag 10 korreliert mit der Voraussetzung der unterlassenen Deklaration des UBS-Kontos während einer beliebigen Dreijahresperiode zwischen 1999 und 2010, da die Pflicht zur Einreichung eines Formulars "W-9" sich an "US domiciled clients of UBS" richtet. Die in Ziff. 2/A/b verwendete Formulierung "während eines Zeitraums von mindestens 3 Jahren" ("for a period of at least 3 years") weist darauf hin, dass die Unterlassung der Deklarationspflicht drei aufeinander folgende Jahre betreffen muss (Urteil des Bundesverwaltungsgerichts A-3425/2010 vom 11. April 2011 E. 4.2).</w:t>
      </w:r>
    </w:p>
    <w:p>
      <w:r>
        <w:rPr>
          <w:b/>
        </w:rPr>
        <w:t>E. 5.1</w:t>
      </w:r>
    </w:p>
    <w:p>
      <w:r>
        <w:t>Laut Verfügung der Vorinstanz ist den Bankunterlagen zu entnehmen, dass der Beschwerdeführer während des massgeblichen Zeitraums seinen Wohnsitz in den USA gehabt habe. An der Bankbeziehung mit Stammnummer ..., die auf seinen Namen gelautet habe, sei er wirtschaftlich berechtigt gewesen. Es lägen keine Hinweise vor, dass während des massgeblichen Zeitraums ein Formular W-9 eingereicht worden sei. Der Gesamtwert des betreffenden Kontos habe am 31. Dezember 2002 die massgebliche Grenze von Fr. 1'000'000.-- überstiegen. Im Jahr 2008 seien Kapitalgewinne von mindestens Fr. xxx'xxx.-- erzielt worden, was bedeute, dass im Rahmen von drei aufeinander folgenden Jahren Einkünfte von mehr als durchschnittlich Fr. 100'000.-- jährlich generiert worden seien. Damit seien alle gemäss Anhang zum Staatsvertrag 10 massgeblichen Kriterien für die Kategorie 2/A/b erfüllt.</w:t>
      </w:r>
    </w:p>
    <w:p>
      <w:r>
        <w:rPr>
          <w:b/>
        </w:rPr>
        <w:t>E. 5.2</w:t>
      </w:r>
    </w:p>
    <w:p>
      <w:r>
        <w:t>Der Beschwerdeführer bringt vor, die Vorinstanz gehe fälschlicherweise davon aus, dass er während des abkommensrelevanten Zeitraums von 2001 bis 2008 seinen Wohnsitz in den USA gehabt habe. Er habe sich im Jahr 2000 von seiner in den USA wohnhaften Ehefrau getrennt und lebe seither in einem ihm gehörenden Mehrfamilienhaus in Y. [Stadt ausserhalb der USA im Staat Z.], wo er als [nicht-US-amerikanischer] Staatsangehöriger [des Staates Z.] aufgewachsen sei. Seit der Trennung von seiner Ehefrau im Jahr 2000 habe er keine ständige Wohnstätte mehr in den USA. Im Scheidungsurteil vom ... 2006 sei das Sorgerecht über die gemeinsamen Kinder sowie das Wohnhaus in den USA seiner Ehefrau zugesprochen worden. Wenn er seine Kinder in den USA besuche, miete er ein Hotelzimmer oder übernachte bei Freunden. Seit der Trennung im Jahr 2000 gehe er keiner vollberuflichen Tätigkeit als [Angabe des Berufs] mehr nach, sondern lebe grösstenteils vom Vermögen. Jedoch sei er als Konsulent [...] bei einem Kollegen in Y. tätig. Auch nehme er aktiv am Wissenschaftsleben der [Angabe einer Vereinigung in Y.] teil. Er habe in Y. viele Freunde und Bekannte und ein Grossteil seiner Verwandtschaft lebe dort. Ausserdem besuche er regelmässig Fitness- und Gesundheitszentren in Y. Sein persönlicher und wirtschaftlicher Lebensmittelpunkt befinde sich demnach seit dem Jahr 2000 in Y. Gegenüber der UBS AG habe er bloss der Einfachheit halber seine ehemalige Wohnadresse in den USA angegeben, damit keine Adressänderung erforderlich gewesen sei. Zudem habe er aus Erfahrung gewusst, dass bei der [...] Post [im Staat Z.] hin und wieder Postsendungen verloren gehen würden. Aus diesem Grund habe sich seine Ehefrau damit einverstanden erklärt, dass er in bestimmten Fällen weiterhin die gemeinsame Adresse in den USA als Zustelladresse angab.</w:t>
      </w:r>
    </w:p>
    <w:p>
      <w:r>
        <w:rPr>
          <w:b/>
        </w:rPr>
        <w:t>E. 5.3</w:t>
      </w:r>
    </w:p>
    <w:p>
      <w:r>
        <w:t>In ihrer Vernehmlassung vom 6. Dezember 2010 wendet die Vorinstanz ein, weder aus den Bankbelegen noch aus den Beschwerdebeilagen lasse sich zweifelsfrei ermitteln, dass der Beschwerdeführer ab dem Jahr 2000 seinen Wohnsitz in Y. gehabt habe. Beim Erlass der Schlussverfügung habe sie sich bezüglich des Wohnsitzes auf die Angaben des Beschwerdeführers verlassen müssen. Auf dem am 8. April 2002 ausgefüllten Formular zur Eröffnung des streitbetroffenen UBS-Kontos habe der Beschwerdeführer eine US-amerikanische Adresse als Wohnadresse angegeben.</w:t>
      </w:r>
    </w:p>
    <w:p>
      <w:r>
        <w:rPr>
          <w:b/>
        </w:rPr>
        <w:t>E. 5.4.1</w:t>
      </w:r>
    </w:p>
    <w:p>
      <w:r>
        <w:t>Die Vorinstanz stützt ihre Annahme, der Beschwerdeführer habe im abkommensrelevanten Zeitraum in den USA Wohnsitz gehabt, auf Bankunterlagen. Im Formular zur Eröffnung des streitbetroffenen UBS-Kontos am 8. April 2002 gab der Beschwerdeführer die Familienadresse in den USA an, wo er mit seiner Ehefrau und seinen Kindern unbestrittenermassen lebte (...). Die Annahme der Vorinstanz, der Wohnsitz des Beschwerdeführers habe sich im Zeitpunkt der Kontoeröffnung im April 2002 und in den unmittelbar folgenden Jahren an der von diesem im Kontoeröffnungsformular angegebenen Adresse in den USA befunden, basiert somit auf einem genügenden Anhaltspunkt. Bei dieser Sachlage obliegt es dem Beschwerdeführer, die Annahme der Vorinstanz mittels Urkunden klarerweise und entscheidend zu entkräften (vgl. E. 2.2 hiervor).</w:t>
      </w:r>
    </w:p>
    <w:p>
      <w:r>
        <w:rPr>
          <w:b/>
        </w:rPr>
        <w:t>E. 5.4.2</w:t>
      </w:r>
    </w:p>
    <w:p>
      <w:r>
        <w:t>Der Beschwerdeführer stützt seine Behauptung, er habe seinen Lebensmittelpunkt im Zeitpunkt der Trennung von seiner Ehefrau im Jahr 2000 nach Y. verlegt, als erstes auf einen Auszug aus dem Scheidungsurteil eines US-amerikanischen Gerichts vom ... 2006. Weiter legt er eine undatierte Bestätigung seines Anwalts ins Recht, woraus hervorgeht, dass der Beschwerdeführer in einer geerbten Liegenschaft in Y. wohnt. Hinzu kommt die im Zeitraum 2002 bis 2007 verfasste Korrespondenz des Anwalts des Beschwerdeführers, welcher die geerbte Liegenschaft verwaltete und die Briefe jeweils an eine [...] Adresse [im Staat Z.] des Beschwerdeführers sandte, diverse Schreiben und Belege über die Entrichtung der nach dem [...] Recht [des Staats Z.] zu bezahlenden "constructed property tax" für die geerbte Liegenschaft in den Jahren 1999 bis 2008 sowie ein vom 2. Oktober 2009 datierendes Schreiben des Anwalts betreffend die vom Beschwerdeführer zu bezahlende "municipality charges" für das Jahr 2007. Sodann stützt sich der Beschwerdeführer auf eine im September 2010 verfasste Bestätigung eines in Y. tätigen ... [Angabe des Berufs eines Kollegen], dass er den Beschwerdeführer seit 2001 kenne und dass dieser während den vergangenen Jahren in [Angabe der Arbeitsstätte] als Konsulent tätig gewesen sei, sowie auf eine im September 2010 ausgestellte Bestätigung des Generalsekretärs der [Angabe einer Vereinigung in Y.], wonach sich der Beschwerdeführer seit 2002 für diese Vereinigung engagiere. Als Beweis für die Verlegung seines Lebensmittelpunktes nach Y. legt der Beschwerdeführer schliesslich Kopien der Ausweise von Club-Mitgliedschaften in diversen Fitnesszentren in Z. aus den Jahren 2002 bis 2008 ins Recht. Die vorgelegten Unterlagen reichen jedoch nicht aus, um die Annahme der Vorinstanz, der Beschwerdeführer habe im Zeitpunkt der Eröffnung des UBS-Kontos im April 2002 und darüber hinaus seinen Wohnsitz in den USA gehabt, klarerweise und entscheidend zu entkräften. Von vornherein unbeachtlich ist ein in [...] Sprache verfasstes, nicht übersetztes Schriftstück (angeblich ein in Y. ausgestellter Führerschein des Beschwerdeführers), das der Beschwerdeführer zu den Akten reichte. Gestützt auf das vorgelegte Scheidungsurteil vom ... 2006 lässt sich nicht ableiten, der Beschwerdeführer habe bereits im Jahr 2000 resp. im Jahr 2002 (Jahr der Eröffnung des UBS-Kontos) nicht mehr mit seiner Ehefrau und seinen Kindern an der gemeinsamen Adresse in den USA gewohnt. Auch lassen die Umstände, dass er in Y. eine von seiner Mutter geerbte Liegenschaft besitzt und dafür Abgaben entrichtet, sich an diesem Ort aufhält und gewisse berufliche Beziehungen als Konsulent und Mitglied eines [Angabe der Vereinigung] pflegt, nicht zweifelsfrei darauf schliessen, dass der Beschwerdeführer bereits im Jahr 2002 seinen Lebensmittelpunkt nach Y. verlegt hatte. So wäre ebenfalls denkbar, dass der Beschwerdeführer bis zur Scheidung im Jahr 2006 bei seiner Familie in den USA wohnte und sich jeweils zeitlich begrenzt in Y. aufhielt, jedoch ohne seinen Lebensmittelpunkt dorthin verlegt zu haben. Dafür spricht jedenfalls der Umstand, dass der Beschwerdeführer der UBS AG keine Adressänderung mitteilte und zugegebenermassen an seiner US-amerikanischen Adresse erreichbar war, wo seine Ehefrau jeweils die Postsendungen entgegennahm.</w:t>
      </w:r>
    </w:p>
    <w:p>
      <w:r>
        <w:rPr>
          <w:b/>
        </w:rPr>
        <w:t>E. 5.4.3</w:t>
      </w:r>
    </w:p>
    <w:p>
      <w:r>
        <w:t>Dem Beschwerdeführer gelingt es nach dem Gesagten nicht, die Annahme der Vorinstanz betreffend seinen Wohnsitz in den USA im Zeitpunkt der Kontoeröffnung im April 2002 bis zur Scheidung im November 2006 zu entkräften. Damit ist auch der Verdacht der unterlassenen Deklarationspflicht gegenüber den US-amerikanischen Steuerbehörden durch den Beschwerdeführer als "US domiciled client of UBS" während einer Dreijahresperiode gegeben (vgl. E. 4.2 hiervor). Die weiteren Voraussetzungen der Amtshilfe für die Kategorie 2/A/b sind ebenfalls erfüllt (vgl. E. 3 hiervor). Die Beschwerde erweist sich im Hauptpunkt somit als unbegründet.</w:t>
      </w:r>
    </w:p>
    <w:p>
      <w:r>
        <w:rPr>
          <w:b/>
        </w:rPr>
        <w:t>E. 6.1</w:t>
      </w:r>
    </w:p>
    <w:p>
      <w:r>
        <w:t>Im Eventualantrag ersucht der Beschwerdeführer um Abdeckung bestimmter, im Rechtsbegehren aufgeführter Textstellen in den an die US-amerikanischen Steuerbehörden zu übermittelnden Akten. In diesen dürfen nach Ansicht des Beschwerdeführers keine Informationen enthalten sein, die einen Rückschluss auf Beziehungen des Beschwerdeführers zu anderen Banken und Finanzinstituten erlauben und zur vorliegend relevanten Bankbeziehung des Beschwerdeführers mit der UBS AG keinen Bezug aufweisen.</w:t>
      </w:r>
    </w:p>
    <w:p>
      <w:r>
        <w:rPr>
          <w:b/>
        </w:rPr>
        <w:t>E. 6.2</w:t>
      </w:r>
    </w:p>
    <w:p>
      <w:r>
        <w:t>Gemäss höchstrichterlicher Rechtsprechung gelangen die Grund­sätze der internationalen Rechtshilfe in Strafsachen auch im Verfahren der Amtshilfe zur Anwendung (Urteil des Bundesgerichts 2A.608/2005 vom 10. August 2006 E. 3; Urteil des Bundesverwaltungsgerichts A-4013/2010 vom 15. Juli 2010, teilweise publiziert in BVGE 2010/40, E. 7.2.1). Dazu gehört insbesondere der Grundsatz der Verhältnismässig­keit (Urteile des Bundesverwaltungsgerichts A-6705/2010 vom 18. April 2011 E. 6.2.1; A-6933/2010 vom 17. März 2011 E. 10.1).</w:t>
      </w:r>
    </w:p>
    <w:p>
      <w:r>
        <w:rPr>
          <w:b/>
        </w:rPr>
        <w:t>E. 6.3</w:t>
      </w:r>
    </w:p>
    <w:p>
      <w:r>
        <w:t>Das Verhältnismässigkeitsprinzip bedeutet für den Umfang der Amts- und Rechts­­hilfe zum einen, dass die ersuchte Behörde nicht über das Rechts- oder Amtshilfeersuchen hinausgehen darf. Dabei ist sie aller­dings nicht an den Wortlaut des Ersu­chens gebunden, sondern hat die­ses in dem Sinn auszulegen, der ihm sinnvollerweise zugeschrieben wer­den kann. Nach der bundesgerichtlichen Praxis spricht nichts gegen eine weite Auslegung des Ersu­chens, wenn sämtliche Voraussetzungen zur Gewährung von Rechtshilfe erfüllt sind und auf diese Weise allfällige Nachtragsersuchen vermieden werden können (BGE 121 II 241 E. 3a; Urteil des Bundesgerichts 1A.269/2005 vom 2. Dezember 2005 E. 4). Es dürfen daher unter Umstän­den selbst Informationen und Dokumente übermittelt werden, welche im Ersuchen nicht ausdrücklich erwähnt wor­den sind (BGE 121 II 241 E. 3b; Urteil des Bundesverwaltungsge­richts A-6933/2010 vom 17. März 2011 E. 10.1). Zum andern müssen die angeord­neten Massnahmen für das ausländi­sche Verfahren erforderlich erschei­nen. Dabei darf die ersuchte Behörde jedoch nicht ihr Ermessen an die Stelle desjenigen der ersuchenden Be­hörde stellen (BGE 121 II 241 E. 3a). Gemäss Rechtsprechung genügt daher die potentielle Erheblichkeit der angeordneten Massnah­men. Den ausländischen Behörden sind diejenigen Informationen zu übermitteln, die sich möglicherweise auf den im Rechts- oder Amtshilfe­ersuchen dargestellten Sachverhalt beziehen können. Nicht zu übermit­teln sind nur diejenigen Akten, die für das ausländische Verfahren mit Sicherheit nicht erheblich sind (BGE 127 II 142 E. 5a; 122 II 367 E. 2c; Urteile des Bundes­gerichts 1A.7/2007 vom 3. Juli 2007 E. 7.2; 1A.269/2005 vom 2. Dezem­ber 2005 E. 4; Urteile des Bundesverwaltungsgerichts A-6705/2010 vom 18. April 2011 E. 6.2.1; A-6933/2010 vom 17. März 2011 E. 10.2).</w:t>
      </w:r>
    </w:p>
    <w:p>
      <w:r>
        <w:rPr>
          <w:b/>
        </w:rPr>
        <w:t>E. 6.4</w:t>
      </w:r>
    </w:p>
    <w:p>
      <w:r>
        <w:t>Gemäss dem vom IRS am 9.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 des Bun­des­verwaltungsgerichts A-6933/2010 vom 17. März 2011 E. 10.3).</w:t>
      </w:r>
    </w:p>
    <w:p>
      <w:r>
        <w:rPr>
          <w:b/>
        </w:rPr>
        <w:t>E. 6.5</w:t>
      </w:r>
    </w:p>
    <w:p>
      <w:r>
        <w:t>Der Beschwerdeführer verlangt die Abdeckung interner Notizen und Berichte von UBS-Mitarbeitern, aus denen hervorgeht, dass er über Kon­ten und Geldanlagen bei weiteren Finanzinstituten verfügt und dass ge­plant oder zumindest darüber gesprochen wurde, die dort liegenden Vermögen auf das streitbetroffene UBS-Konto des Beschwerdeführers zu transferieren. Im Amtshilfegesuch wird die Übermittlung interner Notizen und Berichte der UBS AG betreffend das streitberoffene Konto des Be­schwerdeführers ausdrücklich verlangt. Die Lieferung der besagten Un­terlagen geht deshalb nicht über das Amtshilfegesuch hinaus. Hinzu kommt, dass die ersuchten Unterlagen für das ausländi­sche Verfahren möglicherweise erheblich sein können, geht es dem IRS doch gerade darum, die Ver­schiebung von Vermögenswerten auf das (mutmasslich nicht deklarierte) UBS-Konto überprüfen zu können. Die Übermittlung der Bankdokumente ohne Schwärzung von Textstellen verstösst daher nicht gegen das Verhältnismässigkeitsprinzip. Die Beschwerde erweist sich demnach auch bezüglich des Eventual­antrags als unbegründet.</w:t>
      </w:r>
    </w:p>
    <w:p>
      <w:r>
        <w:rPr>
          <w:b/>
        </w:rPr>
        <w:t>E. 7</w:t>
      </w:r>
    </w:p>
    <w:p>
      <w:r>
        <w:t>Nach dem Gesagten ist die Beschwerde abzuweisen. Ausgangsgemäss hat der Beschwerdeführer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von Fr. 20'000.-- zu verrechnen. Der Überschuss von Fr. 5'000.-- wird dem Beschwerdeführer zurückerstattet. Eine Parteientschädigung ist nicht zuzusprechen (vgl. Art. 64 Abs. 1 VwVG e contrario und Art. 7 Abs. 1 VGKE e contrario sowie Art. 7 Abs. 3 VGKE). 8.Dieser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