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A-6633/2010 vom 6. Juni 2011</w:t>
      </w:r>
    </w:p>
    <w:p>
      <w:r>
        <w:t>Bundesverwaltungsgericht, 2011-06-06, DE</w:t>
      </w:r>
    </w:p>
    <w:p>
      <w:r>
        <w:rPr>
          <w:b/>
        </w:rPr>
        <w:t xml:space="preserve">Quelle: </w:t>
      </w:r>
      <w:r>
        <w:t>https://mcp.opencaselaw.ch/entscheid/bvger_A-6633_2010</w:t>
      </w:r>
    </w:p>
    <w:p>
      <w:r>
        <w:t>FR: TAF A-6633/2010 du 6 juin 2011</w:t>
      </w:r>
    </w:p>
    <w:p>
      <w:r>
        <w:t>IT: TAF A-6633/2010 del 6 giugno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Obwohl der eingereichten Beschwerde vom 14. September 2010 auch eine Vollmacht von Y._______ beigelegt wurde, erhebt vorliegend lediglich die X._______ Foundation Beschwerde. Die Beschwerdeführerin erfüllt grundsätzlich die Voraussetzungen der Be­schwerdelegitimation nach Art. 48 Abs. 1 VwVG (vgl. dazu Urteile des Bundesverwaltungsgerichts A 6406/2010 vom 15. April 2011 E. 1.2.4, A 5974/2010 vom 14. Februar 2011 E. 1.1.2, mit weiteren Hinweisen).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A-6053/2010 vom 10. Januar 2011 E. 1.4; Moser/Beusch/Kneubühler, a.a.O., Rz. 1.55).</w:t>
      </w:r>
    </w:p>
    <w:p>
      <w:r>
        <w:rPr>
          <w:b/>
        </w:rPr>
        <w:t>E. 1.5.1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 4911/2010 vom 30. Novem­ber 2010 E. 1.4.2, A-4013/2010 vom 15. Ju­li 2010 E. 2.1 und E. 6.2.2 [Letztere auch in BVGE 2010/40]).</w:t>
      </w:r>
    </w:p>
    <w:p>
      <w:r>
        <w:rPr>
          <w:b/>
        </w:rPr>
        <w:t>E. 1.5.2</w:t>
      </w:r>
    </w:p>
    <w:p>
      <w:r>
        <w:t>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BGE 128 II 407 E. 5.2.1, BGE 127 II 142 E. 5a; BVGE 2010/26 E. 5.1; Urteile des Bundes­ver­wal­tungsgerichts A 6053/2010 vom 10. Januar 2011 E. 1.5,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A 4911/2010 vom 30. November 2010 E. 1.4.2).</w:t>
      </w:r>
    </w:p>
    <w:p>
      <w:r>
        <w:rPr>
          <w:b/>
        </w:rPr>
        <w:t>E. 1.5.3</w:t>
      </w:r>
    </w:p>
    <w:p>
      <w:r>
        <w:t>Gemäss einem zur Publikation bestimmten Grundsatzurteil des Bundesverwaltungsgerichts A-4911/2010 vom 30. November 2010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(vgl. auch Urteile des Bundesverwaltungsgerichts A 6676/2010 vom 8. April 2011 E. 3.3, A 6636/2010 vom 2. Mai 2011 E. 2.2).</w:t>
      </w:r>
    </w:p>
    <w:p>
      <w:r>
        <w:rPr>
          <w:b/>
        </w:rPr>
        <w:t>E. 2.1</w:t>
      </w:r>
    </w:p>
    <w:p>
      <w:r>
        <w:t>Der Staatsvertrag 10 ist für die schwei­ze­rischen Behörden ver­bind­lich. Weder innerstaatliches Recht noch inner­staatliche Praxis können ihm entgegengehalten werden (BVGE 2010/40 E. 6.7; Urteile des Bundesver­wal­tungsgerichts A 6179/2010 vom 3. März 2011 E. 2.1, A-6053/2010 vom 10. Januar 2011 E. 2.1).</w:t>
      </w:r>
    </w:p>
    <w:p>
      <w:r>
        <w:rPr>
          <w:b/>
        </w:rPr>
        <w:t>E. 2.2</w:t>
      </w:r>
    </w:p>
    <w:p>
      <w:r>
        <w:t>Als völkerrechtlicher Vertrag im Sinne von Art. 2 Abs. 1 Bst. a der Wiener Konvention über das Recht der Verträge vom 23. Mai 1969 (VRK, SR 0.111; für die Schweiz am 6. Juni 1990 in Kraft getreten) ist der Staatsvertrag 10 - immer unter Vorbehalt speziellerer Regeln (BVGE 2010/7 E. 3.6.1) - gemäss den Auslegungsregeln der VRK auszulegen. Weil die VRK in diesem Bereich Völkergewohnheitsrecht kodifiziert hat, können diese Regeln auch für Abkommen angewendet werden, welche vor Inkrafttreten der VRK geschlossen wurden (BGE 122 II 234 E. 4c), bzw. von Staaten angewendet werden, welche die VRK nicht ratifiziert haben (vgl. Urteile des Bundesverwaltungsgerichts A 6159/2010 vom 28. Januar 2011 E. 3.1, A 6053/2010 vom 10. Januar 2011 E. 5.1, ausführlich in A 4013/2010 vom 15. Juli 2010 E. 4 [teilweise auch in BVGE 2010/40]). Die Auslegung nach Art. 31 VRK ist ein einheitlicher Vorgang und stützt sich auf den Wortlaut der vertraglichen Bestimmung gemäss seiner gewöhnlichen Bedeutung, den Zusammenhang, Ziel und Zweck des Vertrags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Urteile des Bundesverwaltungsgerichts A 6792/2010 vom 4. Mai 2011 E. 6, A 6258/2010 vom 14. Februar 2011 E. 11, A 6053/2010 vom 10. Januar 2011 E. 5.1, A 4911/2010 vom 30. November 2010 E. 4.1, mit Hinweisen).</w:t>
      </w:r>
    </w:p>
    <w:p>
      <w:r>
        <w:rPr>
          <w:b/>
        </w:rPr>
        <w:t>E. 3.1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3.2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"US-Citizens" (US Staatsangehörige) auch "resident aliens" in den USA subjektiv steuer­pflichtig (Urteil des Bundesverwaltungsgerichts A-6053/2010 vom 10. Januar 2011 E. 7.1.1; vgl. auch grundlegend Urteil des Bun­desverwaltungsgerichts A-4911/2010 vom 30. November 2010 E. 5.2).</w:t>
      </w:r>
    </w:p>
    <w:p>
      <w:r>
        <w:rPr>
          <w:b/>
        </w:rPr>
        <w:t>E. 3.3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 6053/2010 vom 10. Januar 2011 E. 7.2.1). Das Bun­des­ver­waltungs­gericht hat denn auch in konstanter Praxis das UBS-Konto einer Foundation (mit Sitz in Liechtenstein) als "offshore company account" nach dem Anhang des Staatsvertrags 10 qualifiziert (Urteile des Bundesverwaltungsgerichts A-6932/2010 vom 27. April 2011 E. 3.3, A-6053/2010 vom 10. Januar 2011 E. 7.2.2, A 5974/2010 vom 14. Fe­bruar 2011 E. 3).</w:t>
      </w:r>
    </w:p>
    <w:p>
      <w:r>
        <w:rPr>
          <w:b/>
        </w:rPr>
        <w:t>E. 3.4</w:t>
      </w:r>
    </w:p>
    <w:p>
      <w:r>
        <w:t>Zur Beurteilung, ob eine wirtschaftliche Berechtigung ("bene­ficially owned") an einem "offshore company account" vorliegt, ist ent­scheidend, inwiefern die "US Person" das sich auf dem UBS 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 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 Konto befindliche Vermögen und die daraus erziel­ten Einkünfte tatsächlich in der relevanten Zeitperiode von 2001 bis 2008 vorgelegen haben, ist im Einzelfall anhand des rein Faktischen zu beurteilen (vgl. Urteile des Bundes­verwal­tungsgerichts A 6636/2010 vom 2. Mai 2011 E. 4, A 6932/2010 vom 27. April 2011 E. 3.4, ausführlich in A-6053/2010 vom 10. Januar 2011 E. 7.3.2).</w:t>
      </w:r>
    </w:p>
    <w:p>
      <w:r>
        <w:rPr>
          <w:b/>
        </w:rPr>
        <w:t>E. 3.5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(allfälliger) Aufforderung der ESTV - zu beweisen unterliess, dass sie ihre steuerrechtlichen Meldepflichten in Bezug auf ihre Interessen an der Stiftung erfüllt hat, indem die ESTV ermächtigt worden wäre, beim IRS Kopien der FBAR-Erklä­rungen für die relevanten Jahre einzu­holen (Urteil des Bundes­verwaltungs­gerichts A-6053/2010 vom 10. Januar 2011 E. 2.3). Bezüglich des Kontos wird im Staatsvertrag 10 verlangt, dass dieses während mindestens drei Jahren - einschliesslich eines vom Ersuchen umfassten Jahres - bestand und dass darauf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kein Raum für den Nachweis der effektiven Gewinne bzw. Verluste (Urteile des Bundes­verwaltungsgerichts A-6053/2010 vom 10. Januar 2011 E. 9.1, A 4013/2010 vom 15. Juli 2010 E. 8.3.3; zur ganzen Erwägung 3 vgl. auch Urteil des Bundes­verwaltungs­gerichts A-6932/2010 vom 27. April 2011 E. 3).</w:t>
      </w:r>
    </w:p>
    <w:p>
      <w:r>
        <w:rPr>
          <w:b/>
        </w:rPr>
        <w:t>E. 4.1</w:t>
      </w:r>
    </w:p>
    <w:p>
      <w:r>
        <w:t>Laut der Schlussverfügung der Vorinstanz vom 9. August 2010 ist den eingereichten Bankunterlagen zu entnehmen, dass die Beschwerdeführerin und ihr Konto während mindestens drei Jahren zwischen 1999 und 2008 bestanden haben. Y._______ sei eine "US person" im Sinne des Anhangs zum Staatsvertrag 10; er besitze gemäss seinen eigenen Angaben die amerikanische Staatsbürgerschaft. Zudem sei er an der Beschwerdeführerin und damit auch an deren Bankkonto mit der Stammnummer _______ wirtschaftlich berechtigt gewesen. Er habe der ESTV keine Berechtigung erteilt, beim IRS Kopien seiner FBAR-Erklärungen einzuholen. Im Jahr 2006 seien Erträge von Fr. 84'828.-, im Jahr 2007 von Fr. 141'660.- und im Jahr 2008 solche von Fr. 68'495.- erzielt worden. Dazu kämen die im Jahr 2006 erzielten Kapitalgewinne von mindestens Fr. 37'112.-. Die durchschnittlichen Einkünfte im Rahmen von drei aufeinander folgenden Jahren überstiegen demgemäss den Betrag von Fr. 100'000.- pro Jahr. Damit seien alle gemäss Anhang massgeblichen Kriterien für die Kategorie 2/B/b erfüllt.</w:t>
      </w:r>
    </w:p>
    <w:p>
      <w:r>
        <w:rPr>
          <w:b/>
        </w:rPr>
        <w:t>E. 4.2.1</w:t>
      </w:r>
    </w:p>
    <w:p>
      <w:r>
        <w:t>Die Beschwerdeführerin bestreitet in erster Linie das Vorliegen eines "offshore company accounts". Eine "company" sei eine Gesellschaft, das heisse ein Rechtsträger, unter dem sich ein oder mehrere Gesellschafter vereinigten oder zusammenfänden; andere Rechtsstrukturen würden nicht unter diesen Begriff fallen. Aus der Formulierung ergebe sich klar, dass sich der Parteiwille auf sog. Offshore-Gesellschaften beschränke; anderenfalls hätten die Vertragsparteien eine andere Formulierung verwendet. Sowohl nach der schweizerischen wie auch nach der amerikanischen Auslegung könne eine Stiftung nicht unter den Begriff "company" subsumiert werden. Es gehe zudem nicht an, dass sich die Vorinstanz bei der Auslegung des Begriffs "company" auf die VRK stütze, da die USA dieses Regelwerk gar nicht unterzeichnet habe. Auch könne nicht von einer völkergewohnheitsrechtlichen Regel ausgegangen werden, um den Sinngehalt eines Abkommens zu ergründen.</w:t>
      </w:r>
    </w:p>
    <w:p>
      <w:r>
        <w:rPr>
          <w:b/>
        </w:rPr>
        <w:t>E. 4.2.2</w:t>
      </w:r>
    </w:p>
    <w:p>
      <w:r>
        <w:t>Wie dargelegt, hat das Bundesverwaltungsgericht entschieden, dass unter dem Be­griff "offshore company accounts" Bankkonten von körperschaftlichen Gebilden im erweiterten Sinn zu verstehen seien. Darunter fielen auch "offshore"-Gesellschaftsformen, die nach Schwei­zer oder amerikanischem Gesellschafts- und/oder Steuerrecht nicht als eigenes (Steuer-)Subjekt anerkannt würden. Das Bundesverwaltungsgericht hielt explizit fest, dass durchaus auch das UBS-Konto einer liechtensteinischen Stiftung als "offshore company account" nach dem Anhang des Staatsvertrags 10 zu qualifizieren sei (vgl. E. 3.3). An dieser Rechtsprechung ist festzuhalten; die Beschwerdeführerin als Liechtensteiner Stiftung ist eine "offshore-company" im Sinne des Anhangs zum Staatsvertrags 10. Keine Rolle spielt, ob die Beschwerdeführerin - wie sie behauptet - eine dem Trust entsprechende Struktur aufweist. Selbst wenn dem so wäre, änderte dies grundsätzlich nichts an ihrer Rechtsform. Zudem würde ein nach ausländischem Recht errichteter Trust ohnehin auch als "company" gelten (vgl. E. 3.3). Im Übrigen macht die Beschwerdeführerin weder geltend, Y._______ könne das sich auf dem "offshore company account" befindliche Vermögen und die daraus erzielten Einkünfte durch den formellen Rahmen der Gesellschaft hindurch nicht wirtschaftlich kontrollieren und darüber verfügen, noch erbringt sie diesbezüglich den Urkundenbeweis (vgl. E. 1.5.3 und E. 3.4). Vielmehr räumt die Beschwerdeführerin ausdrücklich ein, dass Y._______ am "offshore company account" im vorliegend relevanten Zeitraum wirtschaftlich berechtigt war.</w:t>
      </w:r>
    </w:p>
    <w:p>
      <w:r>
        <w:rPr>
          <w:b/>
        </w:rPr>
        <w:t>E. 4.2.3</w:t>
      </w:r>
    </w:p>
    <w:p>
      <w:r>
        <w:t>Soweit die Beschwerdeführerin in diesem Zusammenhang geltend macht, Verträge mit den USA dürften nicht gestützt auf die VRK ausgelegt werden, da die USA kein Mitgliedsstaat der VRK sei, ist sie darauf hinzuweisen, dass das Bundesverwaltungsgericht diese Auffassung bereits in seinem Piloturteil vom 15. Juli 2010 (A 4013/2010) widerlegte. Entgegen der Ansicht der Beschwerdeführerin handelt es sich bei den Auslegungsregeln der VRK um Völkergewohnheitsrecht (vgl. E. 2.2).</w:t>
      </w:r>
    </w:p>
    <w:p>
      <w:r>
        <w:rPr>
          <w:b/>
        </w:rPr>
        <w:t>E. 4.3</w:t>
      </w:r>
    </w:p>
    <w:p>
      <w:r>
        <w:t>Die Beschwerdeführerin bestreitet zu Recht weder, dass Y._______ im fraglichen Zeitraum US-Staatsangehöriger und damit "US person" im Sinn des Anhangs zum Staatsvertrag 10 gewesen ist, noch - wie gesehen (vgl. E. 4.2.2) - dessen wirtschaftliche Berechtigung am ins Verfahren einbezogenen Konto. Damit erweisen sich die zwei Identifikationskriterien der Kategorie 2/B/b des Anhangs zum Staatsvertrag 10 mit Bezug auf Y._______ als erfüllt (vgl. E. 3.2 und E. 3.4). Daran ändert auch nichts, wenn - wie behauptet wird - Y._______ seit Jahrzehnten nicht mehr in den USA leben würde und sein gesamtes Vermögen ausserhalb den USA erarbeitet hätte.</w:t>
      </w:r>
    </w:p>
    <w:p>
      <w:r>
        <w:rPr>
          <w:b/>
        </w:rPr>
        <w:t>E. 4.4</w:t>
      </w:r>
    </w:p>
    <w:p>
      <w:r>
        <w:t>Weiter ist zu prüfen, ob ein begründeter Verdacht auf "fortgesetzte und schwere Steuerdelikte" besteht, damit basierend auf dem Anhang zum Staatsvertrag 10 Amtshilfe geleistet werden kann (vgl. oben E. 3.5).</w:t>
      </w:r>
    </w:p>
    <w:p>
      <w:r>
        <w:rPr>
          <w:b/>
        </w:rPr>
        <w:t>E. 4.4.1</w:t>
      </w:r>
    </w:p>
    <w:p>
      <w:r>
        <w:t>Vorliegend räumt die Beschwerdeführerin selbst ein, dass Y._______ seine Mittel dem amerikanischen Fiskus nicht deklariert habe und er somit auch seinen steuerrechtlichen Meldepflichten in Bezug auf seine Interessen an der Beschwerdeführerin nicht nachgekommen ist. Gemäss der einschlägigen Bestimmung im Anhang zum Staatsvertrag 10 besteht somit der begründete Verdacht auf "fortgesetzte und schwere Steuerdelikte". Unbeachtlich bleibt demzufolge der Einwand der Beschwerdeführerin, Y._______ habe die Stiftung nicht aufgrund von Steuerüberlegungen und nicht in der Absicht, jemanden zu täuschen oder etwas zu simulieren, gegründet. Unbestrittenermassen und gemäss den an die ESTV eingereichten Bankunterlagen bestanden sodann die Beschwerdeführerin und ihr Konto während mindestens 3 Jahren und einschliesslich eines vom Ersuchen erfassten Jahres. Gemäss der zutreffenden Dossieranalyse der Vorinstanz sind auf dem Konto der Beschwerdeführerin in den Jahren 2006 bis und mit 2008 Erträge von insgesamt mindestens Fr. 332'095.- erzielt worden. Die durchschnittlichen Einkünfte im Rahmen von drei aufeinander folgenden Jahren übersteigen damit den Betrag von Fr. 100'000.-. Diese Berechnungen blieben ebenfalls unbestritten.</w:t>
      </w:r>
    </w:p>
    <w:p>
      <w:r>
        <w:rPr>
          <w:b/>
        </w:rPr>
        <w:t>E. 4.4.2</w:t>
      </w:r>
    </w:p>
    <w:p>
      <w:r>
        <w:t>Nichts zu ihren Gunsten abzuleiten vermag die Beschwerdeführerin in diesem Zusammenhang aus der Behauptung, sie habe während den vorliegend relevanten Jahren 2001 bis 2008 nie "Us-securities" gehalten. Ebenso irrelevant ist, ob eine Familienstiftung überhaupt zum verdeckten Halten von "US-securities" durch eine "US person" verwendet werden konnte. Ob der Staatsvertrag 10 nämlich an das sog. QI-Verfahren anknüpft oder nicht, ist unerheblich; von Bedeutung ist - einmal mehr - einzig der Inhalt des Staatsvertrages 10 (vgl. E. 3) und dieser differenziert bei der Berechnung der massgeblichen Einkünfte nicht danach, ob die Erträge aus "US-securities" stammen. Massgebend ist in diesem Zusammenhang nur, dass insgesamt jährliche Durchschnittseinkünfte von mehr als Fr. 100'000.- erzielt worden sind und dass der wirtschaftlich Berechtigte seinen steuerrechtlichen Meldepflichten in Bezug auf seine Interessen an der Beschwerdeführerin nicht nachgekommen ist (vgl. dazu auch Urteil des Bundesverwaltungsgerichts A 6932/2010 vom 27. April 2011 E. 4.4).</w:t>
      </w:r>
    </w:p>
    <w:p>
      <w:r>
        <w:rPr>
          <w:b/>
        </w:rPr>
        <w:t>E. 4.5</w:t>
      </w:r>
    </w:p>
    <w:p>
      <w:r>
        <w:t>Nach dem Gesagten sind alle Voraussetzungen für die Gewährung der Amtshilfe,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vorhanden. Die Beschwerde ist demzufolge abzuweisen.</w:t>
      </w:r>
    </w:p>
    <w:p>
      <w:r>
        <w:rPr>
          <w:b/>
        </w:rPr>
        <w:t>E. 5</w:t>
      </w:r>
    </w:p>
    <w:p>
      <w:r>
        <w:t>Ausgangsgemäss hat die unterliegende Beschwerdeführerin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in der Höhe von Fr. 20'000.- zu verrechnen. Der Überschuss von Fr. 5'000.- ist der Beschwerdeführerin zurückzuerstatten. Eine Parteientschädigung ist nicht zuzusprechen (vgl. Art. 64 Abs. 1 VwVG e contrario).</w:t>
      </w:r>
    </w:p>
    <w:p>
      <w:r>
        <w:rPr>
          <w:b/>
        </w:rPr>
        <w:t>E. 6</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