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A-6576/2010 vom 21. März 2011</w:t>
      </w:r>
    </w:p>
    <w:p>
      <w:r>
        <w:t>Bundesverwaltungsgericht, 2011-03-21, DE</w:t>
      </w:r>
    </w:p>
    <w:p>
      <w:r>
        <w:rPr>
          <w:b/>
        </w:rPr>
        <w:t xml:space="preserve">Quelle: </w:t>
      </w:r>
      <w:r>
        <w:t>https://mcp.opencaselaw.ch/entscheid/bvger_A-6576_2010</w:t>
      </w:r>
    </w:p>
    <w:p>
      <w:r>
        <w:t>FR: TAF A-6576/2010 du 21 mars 2011</w:t>
      </w:r>
    </w:p>
    <w:p>
      <w:r>
        <w:t>IT: TAF A-6576/2010 del 21 marzo 2011</w:t>
      </w:r>
    </w:p>
    <w:p>
      <w:pPr>
        <w:pStyle w:val="Heading2"/>
      </w:pPr>
      <w:r>
        <w:t>Regeste</w:t>
      </w:r>
    </w:p>
    <w:p>
      <w:r>
        <w:t>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Zu den beim Bundesverwaltungsgericht an­fecht­baren Verfügungen gehört auch die Schlussverfügung der ESTV im Bereich der internationalen Amtshilfe (Art. 32 VGG e con­trario und Art. 20k Abs. 1 Vo DBA-USA). Die Zuständigkeit des Bundesverwal­tungs­ge­richts ist somit gegeben.</w:t>
      </w:r>
    </w:p>
    <w:p>
      <w:r>
        <w:rPr>
          <w:b/>
        </w:rPr>
        <w:t>E. 1.2</w:t>
      </w:r>
    </w:p>
    <w:p>
      <w:r>
        <w:t>Die Beschwerdeführenden erfüllen die Voraussetzungen der Beschwerdelegitimation nach Art. 48 Abs. 1 VwVG. Auf die frist- und formgerecht eingereichte Beschwerde ist - mit der nachfolgend in E. 6 gemachten Einschränkung -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A-6721/2010 vom 4. Februar 2011 E. 2.1).</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(in casu: zum Erfordernis "US domiciled").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w:t>
      </w:r>
    </w:p>
    <w:p>
      <w:r>
        <w:t>Umstritten ist die Frage, ob die Beschwerdeführenden das im Anhang zum Staatsvertrag 10 aufgeführte Erfordernis des "US domicile" für die Amtshilfe der Schweiz an die USA erfüllen. Die Vorinstanz geht davon aus, dass die Beschwerdeführenden im abkommensrelevanten Zeitraum in den USA wohnhaft waren. Massgeblich für die Klärung dieser Streitfrage ist der Wortlaut in der englischen Originalversion des Staatsvertrags 10 (Urteil des Bundesverwaltungsgerichts A-4013/2010 vom 15. Juli 2010 E. 7.1). Nach Ziff. 1 Bst. A des Anhangs zum Staatsvertrag 10 fallen (unter anderen) folgende Personen unter das Amtshilfeersuchen: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Die deutsche (nicht massgebliche) Übersetzung lautet: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w:t>
      </w:r>
    </w:p>
    <w:p>
      <w:r>
        <w:rPr>
          <w:b/>
        </w:rPr>
        <w:t>E. 4</w:t>
      </w:r>
    </w:p>
    <w:p>
      <w:r>
        <w:t>Im bereits erwähnten Grundsatzurteil A-4911/2010 vom 30. November 2010 entschied das Bundesverwaltungsgericht, dass der im Staats­vertrag 10 verwendete Begriff "US domiciled" nicht nach der Auslegungsregel von Art. 3 Abs. 2 DBA-USA 96, sondern nach den allgemeinen Auslegungsbestimmungen von Art. 31 ff. der Wiener Konvention über das Recht der Verträge vom 23. Mai 1969 (VRK, SR 0.111; für die Schweiz seit 6. Juni 1990 in Kraft)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5.1</w:t>
      </w:r>
    </w:p>
    <w:p>
      <w:r>
        <w:t>Laut Verfügung der Vorinstanz ist den Bankunterlagen zu ent­nehmen, dass die Beschwerdeführenden bis zum Domizilwechsel im November des Jahres 2008 während des massgeblichen Zeitraums in den USA ihren Wohnsitz gehabt hätten. An der Bankbeziehung mit Stammnummer ...7, die auf ihre Namen gelautet habe, seien sie wirtschaftlich berechtigt gewesen. Zudem seien die Beschwerdeführenden an der Bankbeziehung mit Stammnummer ...6 wirtschaftlich berechtigt gewesen. Es lägen keine Hinweise vor, dass während des massgeblichen Zeitraums ein Formular W-9 eingereicht worden sei. Der Gesamtwert des Kontos mit Stammnummer ...7 habe am 31. Dezember 2001 die massgebliche Grenze von Fr. 1'000'000.-- überstiegen. In den Jahren 2000 bis 2002 seien bei letztgenannter Kontobeziehung Einkünfte von mindestens Fr. 323'869.-- erzielt worden, womit im Rahmen von drei aufeinander folgenden Jahren (2000-2002) Durchschnittseinkünfte von mehr als Fr. 100'000.-- pro Jahr erzielt worden seien. Damit seien alle gemäss Anhang zum Staatsvertrag 10 massgeblichen Kriterien für die Kategorie 2/A/b für die Bankbeziehung mit Stammnummer ...7 erfüllt. Infolgedessen erübrige sich eine Prü­fung der massgeblichen Kriterien für das zweite Konto mit Stammnum­mer ...6. Für beide vorgenannten Bankbeziehun­gen sei demnach Amtshilfe zu gewähren.</w:t>
      </w:r>
    </w:p>
    <w:p>
      <w:r>
        <w:rPr>
          <w:b/>
        </w:rPr>
        <w:t>E. 5.2</w:t>
      </w:r>
    </w:p>
    <w:p>
      <w:r>
        <w:t>Die Beschwerdeführenden machen geltend, ihnen würde in sachlich nicht begründeter und willkürlicher Art und Weise unterstellt, während des massgeblichen Zeitraums Wohnsitz in den USA gehabt zu haben. Sie hätten die Liegenschaft an der von der UBS AG verwendeten Adresse bereits am 26. Februar 1999 verkauft. Dies werde zum einen mit einer ins Recht gelegten Kopie des Vertrags über den Verkauf der Liegenschaft vom 26. Februar 1999 ("Individual Grant Deed"; bf. Beilage 3) und zum anderen mittels einer Kopie der Grundstückgewinnsteuer-Erklärung ("Sale of Your Home") aus dem Jahre 1999 belegt. Nach dem Verkauf ihres Wohnhauses in den USA seien sie nach M._______ zurückgekehrt, wo sie am 27. April 1999 Wohnsitz genommen hätten. Der beigelegten beglaubigten Übersetzung vom 31. August 2010 des Passes des Beschwerdeführers sei auf Seite 4 zu entnehmen, dass sie am 27. April 1999 nach M._______ zurückgekehrt seien. Aus dem ebenfalls beigelegten und ins Deutsche übersetzten Einwohnerregisterauszug vom 2. September 2010 ergebe sich zudem, dass sie seit dem 28. April 1999 ihren Wohnsitz an einer Adresse in ... [M._______] gehabt und seit dem 28. Mai 2003 an einer anderen Adresse in derselben Stadt Wohnsitz hätten. Sie seien somit nachgewiesenermassen seit dem 28. April 1999 in M._______ wohnhaft. Hinzu komme, dass der Beschwerdeführer als M._______isch-amerikanischer Doppelbürger seinen Deklarationspflichten stets nachgekommen sei. Dies ergebe sich aus den ins Recht gelegten FBAR-Erklärungen für die Jahre 2000 bis 2009.</w:t>
      </w:r>
    </w:p>
    <w:p>
      <w:r>
        <w:rPr>
          <w:b/>
        </w:rPr>
        <w:t>E. 5.3</w:t>
      </w:r>
    </w:p>
    <w:p>
      <w:r>
        <w:t>In ihrer Vernehmlassung wendet die Vorinstanz ein, die Vorbringen der Beschwerdeführenden, wonach die Liegenschaft an der von der UBS AG verwendeten Adresse verkauft worden sei, überzeuge nicht. Die Belege würden entweder einen falschen Ort ohne genaue Adresse oder aber eine vollständige, aber ebenfalls falsche Adresse aufweisen. Es sei daher davon auszugehen, dass die Beschwerdeführenden mehrere Liegenschaften besessen und eine davon verkauft hätten. Dies unterstreiche auch die Tatsache, dass bei den für die Jahre 2000 bis 2009 eingereichten "FBARs" erneut eine andere amerikanische Adresse angegeben worden sei. Es werde daher nicht schlüssig dargelegt, dass die Beschwerdeführenden seit 1999 kein Domizil mehr in den USA besessen hätten. Das Vorbringen der Beschwerdeführenden, sie seien ihren Deklarationspflichten nachgekommen, über­zeuge ebenfalls nicht. Den "FBARs" könne zwar entnommen werden, dass das Konto mit Stammnummer ...7 deklariert worden sei, nicht aber das Konto mit Stammnummer ...6, obwohl dieses bereits am 25. August 1980 eröffnet worden sei.</w:t>
      </w:r>
    </w:p>
    <w:p>
      <w:r>
        <w:rPr>
          <w:b/>
        </w:rPr>
        <w:t>E. 5.4</w:t>
      </w:r>
    </w:p>
    <w:p>
      <w:r>
        <w:t>In ihrer Eingabe vom 4. November 2010 bringen die Beschwerdeführenden ergänzend vor, sie hätten bis 1997 in einem grossen Haus in ... [USA] gewohnt. Dieses Haus hätten sie im Jahre 1997 verkauft und seien noch im selben Jahr in ein kleineres Haus umgezogen, welches sie im Jahr 1997 gekauft hätten. Dort hätten sie bis zum Verlassen der USA am 21. Februar 1999 gelebt. Das letztgenannte Haus hätten sie im Februar 1999 verkauft. Nach diesem Zeitpunkt hätten sie weder Wohnsitz in den USA gehabt noch Liegenschaften in den USA besessen. Am 21. April 1999 hätten sie Wohnsitz in .../M._______ genommen. Der Umstand, dass sie ihren Wohnsitz in den USA endgültig und vollständig aufgelöst hätten, werde auch dadurch belegt, dass sie am 14. und 15. April 1999 ihren Hausrat an zwei wohltätige Organisationen verschenkt hätten. Dies werde durch eine Steuererklärungsbeilage aus dem Jahr 1999 belegt.</w:t>
      </w:r>
    </w:p>
    <w:p>
      <w:r>
        <w:rPr>
          <w:b/>
        </w:rPr>
        <w:t>E. 5.5</w:t>
      </w:r>
    </w:p>
    <w:p>
      <w:r>
        <w:t>Mit Eingabe vom 7. Februar 2011 reichen die Beschwerdeführenden zusätzliche Beweise bezüglich der Wohnsitznahme der Beschwerdeführerin in M._______ am 28. April 1999 ins Recht.</w:t>
      </w:r>
    </w:p>
    <w:p>
      <w:r>
        <w:rPr>
          <w:b/>
        </w:rPr>
        <w:t>E. 5.6.1</w:t>
      </w:r>
    </w:p>
    <w:p>
      <w:r>
        <w:t>Die Anhaltspunkte für die Annahme der Vorinstanz, die Beschwerdeführenden hätten "bis zum Domizilwechsel im November des Jahres 2008" Wohnsitz in den USA gehabt, betreffen zum einen Bankbelege (aufgrund von Kontoeröffnungen) aus dem Jahr 1999 (vgl. Belegstellen ..._4_00022 f. und -..._4_00022 f. bzw. ..._4_00014 ff. und _4_00025 ff.) und zum anderen den Umstand, dass die Beschwerdeführenden in den USA mehrere Liegenschaften besassen. Diese Annahme erweist sich nicht zum vornherein als offensichtlich fehler- oder lückenhaft resp. widersprüchlich. Denn in der Tat eröffneten die Beschwerdeführenden am 5. Juli 1999 - und damit rund zwei Monate nachdem sie angeblich wieder nach M._______ zurückgekehrt seien - bei der UBS AG mindestens zwei Konti bzw. Unterkonti (mit Master Nr. ...6 bzw. Nr. ...7 ["Joint accounts"]) und gaben dabei als Wohnadresse eine Adresse in ... [USA]/USA an (Belegstellen ..._4_00022 f. und -..._4_00022 f.). Der (förmliche) Antrag auf "Domiziländerung" (an die heutige Adresse in .../M._______ ["US to non US"]), gültig ab 28. Mai 2003, erfolgte indessen erst mittels schriftlichem Auftrag des Beschwerdeführers vom 17. November 2008 (Belegstellen ..._4_00014 ff. und _4_00025 ff.). Damit kann den einschlägigen Bankbelegen zwar nicht eindeutig entnommen werden, dass der Domizilwechsel (erst) im November des Jahres 2008 erfolgt sei. Es liegen indessen hinreichend Anhaltspunkte zur berechtigten Annahme vor, dass die Beschwerdeführenden zumindest in den Jahren 2000 bis 2002 Wohnsitz in den USA hatten. Bei dieser Sachlage obliegt es den Beschwerdeführenden, die vorliegend berechtigte Annahme der Vorinstanz, dass sie in den Jahren 2000 bis 2002 "US domiciled" waren, klarerweise und entscheidend zu entkräften (vgl. oben E. 2.2).</w:t>
      </w:r>
    </w:p>
    <w:p>
      <w:r>
        <w:rPr>
          <w:b/>
        </w:rPr>
        <w:t>E. 5.6.2</w:t>
      </w:r>
    </w:p>
    <w:p>
      <w:r>
        <w:t>Als Beleg für die Wohnsitznahme in M._______ am 28. April 1999 legt der Beschwerdeführer eine notariell beglaubigte Übersetzung seines Pas­ses ins Recht. Daraus ergibt sich, dass der Beschwerdeführer als "returning resident" am 27. April 1999 nach M._______ zurückkehrte. Weiter reicht der Beschwerdeführer in notariell beglaubigter Übersetzung Auszüge aus dem Einwohnerregister des Innenministeriums des Staates M._______ zu den Akten, die bezeugen, dass der Beschwerdeführer am 28. April 1999 in ... [M._______] Wohnsitz nahm und dort seit dem 28. Mai 2003 an der heutigen Adresse wohnhaft ist. Des Weiteren ist den Einwohnerregisterauszügen zu entnehmen, dass der Beschwerdeführer bereits in den siebziger Jahren in ... [M._______] wohnhaft gewesen war und deshalb mit diesem Ort von früheren Zeiten her verbunden ist. Bezüglich der Beschwerdeführerin reichten die Beschwerdeführenden eine notariell beglaubigte Übersetzung von Seite 6 des Passes des Beschwerdeführers ins Recht, woraus sich ergibt, dass die Beschwerdeführerin als Ehefrau des Beschwerdeführers zusammen mit ihm am 27. April 1999 als "returning resident" nach M._______ zurückkehrte. Aus den notariell beglaubigten Übersetzungen der Einwohnerregisterauszüge, welche die Beschwerdeführenden zu den Akten reichen, ergibt sich, dass die Beschwerdeführerin zusammen mit ihrem Ehemann am 28. April 1999 in ... [M._______] Wohnsitz nahm und dort seit dem 28. Mai 2003 an der heutigen Adresse wohnt. Auch bezüglich der Beschwerdeführerin bestätigen die Einwohnerregisterauszüge, dass die Beschwerdeführerin bereits einmal in den siebziger Jahren in ... [M._______] wohnhaft gewesen war. Als weiteren Beleg für die Wohnsitznahme in ... [M._______] im Jahr 1999 reichen die Beschwerdeführenden einen am 22. September 1999 vom Ministerium für Transport des Staates M._______ ausgestellten Führerschein der Beschwerdeführerin ins Recht, worin ihre damalige Adresse in ... [M._______] als Wohnadresse aufgeführt ist. Ausserdem findet sich in einem Beiblatt der an die US-amerikanische Steuerbehörde eingereichten Steuererklärung aus dem Jahr 1999 der Vermerk, dass die Beschwerdeführenden eine Reihe von Möbelstücken an gemeinnützige Institutionen verschenkten. Dies ist ein zusätzliches Indiz dafür, dass die Beschwerdeführenden im Jahr 1999 nach M._______ zurückkehrten. Mit den eingereichten Urkunden, insbesondere dem Pass des Beschwerdeführers, den diversen Einwohnerregisterauszügen des Innenministeriums des Staates M._______ sowie dem Führerschein der Beschwerdeführerin, gelingt es den Beschwerdeführenden, die Annahme der Vorinstanz, dass sie im Zeitraum von 2001 bis 2008 in den USA wohnhaft ("US domiciled") gewesen waren, klarerweise und entscheidend zu entkräften. Die Voraussetzungen der Amtshilfe gemäss Anhang zum Staatsvertrag 10 sind nach dem Gesagten nicht erfüllt, und die Amtshilfe ist zu verweigern.</w:t>
      </w:r>
    </w:p>
    <w:p>
      <w:r>
        <w:rPr>
          <w:b/>
        </w:rPr>
        <w:t>E. 6</w:t>
      </w:r>
    </w:p>
    <w:p>
      <w:r>
        <w:t>Was den Antrag der Beschwerdeführenden betrifft, es seien die das Amtshilfeverfahren betreffenden Dokumente zu vernichten, so ist es nicht Aufgabe des Bundesverwaltungsgerichts, darüber zu befinden, wie die Vorinstanz das Urteil umsetzen wird. Deshalb kann das Bundesverwaltungsgericht die Vernichtung der im Amtshilfeverfahren erhobenen Dokumente ohnehin nicht anordnen (vgl. Urteil des Bundesverwaltungsgerichts A-4911/2010 vom 30. November 2010 E. 7). Selbstredend hat sich die Vorinstanz dabei aber an die einschlägigen rechtlichen Vorschriften zu halten. Auf das entsprechende Rechtsbegehren der Beschwerdeführenden wird nicht eingetreten. 7.Nach dem Gesagten ist die Beschwerde im Sinne der Erwägungen gutzuheissen, soweit darauf einzutreten ist, die angefochtene Verfügung aufzuheben und die Amtshilfe zu verweigern. Das Nichteintreten auf einen untergeordneten Punkt wirkt sich wegen Geringfügigkeit nicht auf die Kosten- und Entschädigungsfolgen aus. Ausgangsgemäss wird somit auf die Erhebung von Gerichtskosten verzichtet (Art. 63 Abs. 1 und 2 VwVG) und der bereits geleistete Kostenvorschuss zurückerstattet. Den Beschwerde­führenden ist eine angemessene Parteientschädigung zuzusprechen (Art. 64 Abs. 1 VwVG). 8.Dieser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