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A-6575/2009 vom 8. November 2012</w:t>
      </w:r>
    </w:p>
    <w:p>
      <w:r>
        <w:t>Bundesverwaltungsgericht, 2012-11-08, IT</w:t>
      </w:r>
    </w:p>
    <w:p>
      <w:r>
        <w:rPr>
          <w:b/>
        </w:rPr>
        <w:t xml:space="preserve">Quelle: </w:t>
      </w:r>
      <w:r>
        <w:t>https://mcp.opencaselaw.ch/entscheid/bvger_A-6575_2009</w:t>
      </w:r>
    </w:p>
    <w:p>
      <w:r>
        <w:t>FR: TAF A-6575/2009 du 8 novembre 2012</w:t>
      </w:r>
    </w:p>
    <w:p>
      <w:r>
        <w:t>IT: TAF A-6575/2009 del 8 novembre 2012</w:t>
      </w:r>
    </w:p>
    <w:p>
      <w:pPr>
        <w:pStyle w:val="Heading2"/>
      </w:pPr>
      <w:r>
        <w:t>Regeste</w:t>
      </w:r>
    </w:p>
    <w:p>
      <w:r>
        <w:t>Ferrovie (altro)</w:t>
      </w:r>
    </w:p>
    <w:p>
      <w:pPr>
        <w:pStyle w:val="Heading2"/>
      </w:pPr>
      <w:r>
        <w:t>Erwägungen</w:t>
      </w:r>
    </w:p>
    <w:p>
      <w:r>
        <w:rPr>
          <w:b/>
        </w:rPr>
        <w:t>E. 8</w:t>
      </w:r>
    </w:p>
    <w:p>
      <w:r>
        <w:t>In considerazione dell'esito della lite, giusta l'art. 63 cpv. 1 PA, le spese processuali vanno poste a carico della parte soccombente (art. 1 segg. del Regolamento del 21 febbraio 2008 sulle tasse e sulle spese ripetibili nelle cause dinanzi al Tribunale amministrativo federale [TS-TAF, RS 173.320.2]). Nella fattispecie, esse vengono stabilite a 2'000.-- franchi, importo che viene interamente compensato con l'anticipo spese versato dalle ricorrenti. Infine, visto l'esito del ricorso e con riferimento all'art. 64 cpv. 1 PA e all'art. 7 cpv. 1 TS-TAF, alle ricorrenti non viene assegnata alcuna indennità a titolo di spese ripetibili.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