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A-6545/2012 vom 12. September 2013</w:t>
      </w:r>
    </w:p>
    <w:p>
      <w:r>
        <w:t>Bundesverwaltungsgericht, 2013-09-12, DE</w:t>
      </w:r>
    </w:p>
    <w:p>
      <w:r>
        <w:rPr>
          <w:b/>
        </w:rPr>
        <w:t xml:space="preserve">Quelle: </w:t>
      </w:r>
      <w:r>
        <w:t>https://mcp.opencaselaw.ch/entscheid/bvger_A-6545_2012</w:t>
      </w:r>
    </w:p>
    <w:p>
      <w:r>
        <w:t>FR: TAF A-6545/2012 du 12 septembre 2013</w:t>
      </w:r>
    </w:p>
    <w:p>
      <w:r>
        <w:t>IT: TAF A-6545/2012 del 12 settembre 2013</w:t>
      </w:r>
    </w:p>
    <w:p>
      <w:pPr>
        <w:pStyle w:val="Heading2"/>
      </w:pPr>
      <w:r>
        <w:t>Regeste</w:t>
      </w:r>
    </w:p>
    <w:p>
      <w:r>
        <w:t>Mehrwertsteuer</w:t>
      </w:r>
    </w:p>
    <w:p>
      <w:pPr>
        <w:pStyle w:val="Heading2"/>
      </w:pPr>
      <w:r>
        <w:t>Erwägungen</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2.3</w:t>
      </w:r>
    </w:p>
    <w:p>
      <w:r>
        <w:t>Der bereits für das Warenumsatzsteuerrecht entwickelte Grundsatz der Einheit der Unternehmung gilt nach konstanter Rechtsprechung auch im Mehrwertsteuerrecht. Nach diesem Grundsatz bezieht sich die Steuer­pflicht auf sämtliche Umsätze und Betriebszweige des Unter­nehmens, gleichgültig, ob die Betriebe eigene Firmennamen tragen, für sich allein Buch führen, einander Rechnung stellen etc. Nach dem Grund­satz der Einheit des Unternehmens sind die Umsätze des ge­samten Unternehmens zusammenzurechnen; ausgenommen sind nur die­jenigen Tätigkeiten, die der privaten Sphäre des Unternehmers zu­ge­hören. Besteht ein Unternehmen aus zwei oder mehreren Einzel­be­trieben, sind die Einnahmen (nach Höhe und Zusammensetzung) aus allen diesen Betrieben insgesamt zu berücksichtigen (statt vieler: Urteil des Bundesgerichts 2C_123/2010 vom 5. Mai 2010 E. 3.2; Urteil des Bundesverwaltungsgerichts A-8485/2007 vom 22. Dezember 2009 E. 2.3.1 je mit weiteren Hinweisen).</w:t>
      </w:r>
    </w:p>
    <w:p>
      <w:r>
        <w:rPr>
          <w:b/>
        </w:rPr>
        <w:t>E. 2.4.1</w:t>
      </w:r>
    </w:p>
    <w:p>
      <w:r>
        <w:t>Die Veranlagung und Entrichtung der Mehrwertsteuer erfolgt nach dem Selbstveranlagungsprinzip (Art. 46 f. aMWSTG; Ernst Blumenstein/Peter Locher, System des schweizerischen Steuer­rechts, 6. Aufl., Zürich 2002, S. 421 ff.). Die steuerpflichtige Person hat selbst und unaufgefordert über ihre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statt vieler: Urteile des Bundes­gerichts 2C_356/2008 vom 21. November 2008 E. 3.2, 2A.109/2005 vom 10. März 2006 E. 2.1; Urteile des Bundesverwaltungsgerichts A 1344/2011 und A-3285/2011 vom 26. September 2011 E. 3.1, A 5460/2008 vom 12. Mai 2010 E. 2.5.1).</w:t>
      </w:r>
    </w:p>
    <w:p>
      <w:r>
        <w:rPr>
          <w:b/>
        </w:rPr>
        <w:t>E. 2.4.2</w:t>
      </w:r>
    </w:p>
    <w:p>
      <w:r>
        <w:t>Zu den Obliegenheiten der mehrwertsteuerpflichtigen Person gehört insbesondere auch die Buchführungspflicht. Sie hat ihre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aMWSTG). Die ESTV kann hierüber nähere Bestimmungen aufstellen. Von dieser Befugnis hat sie im Rahmen des Erlasses der Wegleitung für Mehrwertsteuerpflichtige (in erster Auflage erschienen im Herbst 1994 [neu herausgegeben im Frühling 1997]; als Wegleitung 2001 zur Mehrwertsteuer [Wegleitung 2001] herausgegeben per 1. Januar 2001 [und per 1. Januar 2008 als Wegleitung 2008 zur Mehrwertsteuer]) Gebrauch gemacht. Darin sind genauere Angaben enthalten, wie eine derartige Buchhaltung auszugestalten ist. Insbesondere müssen alle Geschäftsfälle fortlaufend, chronologisch und lückenlos aufgezeichnet werden (vgl. Rz. 878 ff.).</w:t>
      </w:r>
    </w:p>
    <w:p>
      <w:r>
        <w:rPr>
          <w:b/>
        </w:rPr>
        <w:t>E. 2.5.1</w:t>
      </w:r>
    </w:p>
    <w:p>
      <w:r>
        <w:t>Liegen keine oder nur unvollständige Aufzeichnungen vor, oder stimmen die ausgewiesenen Ergebnisse mit dem wirklichen Sach­verhalt offensichtlich nicht überein, so nimmt die ESTV eine Schätzung nach pflichtgemässem Ermessen vor (Art. 60 aMWSTG). Die Ermessensveranlagung wird unabhängig von den Ursachen vorgenom­men und hat keinen Strafcharakter, sondern ist lediglich ein Mittel zur Erreichung einer vollständigen und richtigen Veranlagung (Urteile des Bundesverwaltungsgerichts A-848/2012 vom 27. September 2012 E. 2.3.3, A 5460/2008 vom 12. Mai 2010 E. 2.5.3). Eine Ermessenstaxation ist somit immer dann nötig, wenn eine (gegebenenfalls) steuerpflichtige Person ihrer Aufzeichnungs- und Abrechnungspflicht nicht nachgekommen ist bzw. sie nicht einmal rudimentäre geschäftliche Aufzeichnungen vorweisen kann oder ihre Abrechnung nicht eingereicht hat (Urteile des Bundesver­wal­tungsgerichts A-849/2012 vom 27. September 2012 E. 2.3.3, A 4011/2010 vom 18. Januar 2011 E. 2.5.3, A 5460/2008 vom 12. Mai 2010 E. 2.5.3). Die ESTV hat die Schätzung nach pflichtgemässem Ermessen vorzunehmen, d.h. sie hat diejenige Schätzungsmethode zu wählen, die den individuellen Verhältnissen im Betrieb der steuerpflichtigen Person soweit als möglich Rechnung trägt, auf plausiblen Angaben beruht und deren Ergebnis der wirklichen Situation möglichst nahe kommt (Urteile des Bundesgerichts 2C_426/2007 vom 22. November 2007 E. 3.2, 2A.253/2005 vom 3. Februar 2006 E. 4.1; Urteile des Bundesver­waltungsgerichts A 848/2012 vom 27. September 2012 E. 2.3.3, A-1447/2010 vom 11. November 2011 E. 2.6.2). Das Ziel der Ermessensveranlagung ist es, den tat­sächlichen Gegebenheiten möglichst gerecht zu werden. Es haftet ihr dennoch eine gewisse Unsicherheit an, welche die steuerpflichtige Person aufgrund ihrer Pflichtverletzung jedoch selber zu vertreten hat (Urteile des Bundesgerichts 2C_309/2009 und 2C_310/2009 vom 1. Februar 2010 E. 2.2, 2A.437/2005 vom 3. Mai 2006 E. 3.2 mit Hinweisen; statt vieler: Urteile des Bundesverwaltungsgerichts A 848/2012 vom 27. September 2012 E. 2.3.3, A 6299/2009 vom 21. April 2011 E. 5.4).</w:t>
      </w:r>
    </w:p>
    <w:p>
      <w:r>
        <w:rPr>
          <w:b/>
        </w:rPr>
        <w:t>E. 2.5.2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Bundesverwaltungsgerichts A-848/2012 vom 27. September 2012 E. 2.3.4, A-689/2012 vom 31. Mai 2012 E. 2.6.2; vgl. auch Pascal Mollard, TVA et taxation par estimation, in: Archiv für Schweizerisches Abgaberecht [ASA] 69 S. 526 ff.). Die brauchbaren Teile der Buchhaltung und allenfalls vorhandene Belege sind soweit als möglich bei der Schätzung mit zu berücksichtigen. Sie können durchaus als Basiswerte der Ermessenstaxation fungieren (Urteile des Bundesverwaltungsgerichts A 4360/2008 und A 4415/2008 vom 4. März 2010 E. 2.5.2, A-1634/2006 vom 31. März 2009 E. 3.7, A-1527/2006 vom 6. März 2008 E. 2.3; Hans Gerber, Die Steuerschätzung [Veranlagung nach Ermessen], in: Steuer Revue [StR] 1980, S. 307).</w:t>
      </w:r>
    </w:p>
    <w:p>
      <w:r>
        <w:rPr>
          <w:b/>
        </w:rPr>
        <w:t>E. 2.5.3</w:t>
      </w:r>
    </w:p>
    <w:p>
      <w:r>
        <w:t>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(Urteile des Bundesgerichts 2C_309/2009 vom 1. Februar 2010 E. 2.2 und 2A.437/2005 vom 3. Mai 2006 E. 4.3.2; Urteile des Bundes­verwal­tungsgerichts A-689/2012 vom 31. Mai 2012 E. 2.6.3, A 2950/2011 vom 8. Februar 2012 E. 2.5.3). In jedem Fall muss die Ermessenseinschätzung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Bern 2000, S. 190, Rz. 1 ff.). Die ESTV ist gehalten, eine wirklichkeitsnahe Lösung zu treffen, bei welcher schlüssige Anhaltspunkte für das Vorhandensein der von der ESTV ange­nommenen Faktoren vorliegen und die Ermessenseinschätzung somit einen hohen Grad an Wahrscheinlichkeit für sich hat (vgl. Gerber, a.a.O., S. 308 ff. insb. S. 316 f. mit weiteren Hinweisen).</w:t>
      </w:r>
    </w:p>
    <w:p>
      <w:r>
        <w:rPr>
          <w:b/>
        </w:rPr>
        <w:t>E. 2.6.1</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(statt vieler: Urteile des Bundesgerichts 2A.693/2006 vom 26. Juli 2007 E. 3.2, 2A.552/2006 vom 1. Februar 2007 E. 3.2; Urteile des Bundesverwaltungsgerichts A-848/2012 vom 27. September 2012 E. 2.3.4, A 2690/2011 vom 24. Januar 2012 E. 2.7, A 2998/2009 vom 11. Novem­ber 2010 E. 2.7.1).</w:t>
      </w:r>
    </w:p>
    <w:p>
      <w:r>
        <w:rPr>
          <w:b/>
        </w:rPr>
        <w:t>E. 2.6.2</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A-848/2012 vom 27. September 2012 E. 2.4, A-6299/2009 vom 21. April 2011 E. 5.6). Die Rechtmässigkeit dieser Praxis wurde höchstrichterlich bestätigt (Urteil des Bundesgerichts 2C_426/2007 vom 22. November 2007 E. 4.3). Sind die Voraussetzungen einer Ermessenstaxation erfüllt (erste Frage) und wurde diese pflichtgemäss vorgenommen (zweite Frage), obliegt es - in Umkehr der allgemeinen Beweislastregel - der (gegebenenfalls) steuerpflichtigen Person, den Beweis für die Unrichtigkeit der Schätzung (dritte Frage) zu erbringen. Sie darf sich nicht darauf beschränken, die Kalkulationsgrundlagen der Ermessens­veranlagung allgemein zu kritisieren; sie hat vielmehr darzulegen, dass die von der ESTV vorgenommene Schätzung offensichtlich falsch ist bzw. dass dieser dabei erhebliche Ermessensfehler unterlaufen sind, und sie hat auch den Nachweis für ihre vorgebrachten Behauptungen zu erbringen (Urteile des Bundes­gerichts 2C_309/2009 und 2C_310/2009 vom 1. Februar 2010 E. 2.2, 2C_430/2008 vom 18. Februar 2009 E. 5.2, 2C_171/2008 vom 30. Juli 2008 E. 4.2; statt vieler: BVGE 2009/60 E. 2.9.3; Urteile des Bundesverwaltungs­gerichts A-4744/2012 vom 22. Juli 2013 E. 2.4.3, A 848/2012 vom 27. September 2012 E. 2.4). Diese Umkehr der Beweislast darf aber nicht zur Folge haben, dass die ESTV beliebig von ungestützten Annahmen ausgehen und der (gegebenenfalls) steuerpflichtigen Person alsdann zumuten darf, die Unrichtigkeit der Ermessenseinschätzung zu beweisen (vgl. Gerber, a.a.O., S. 316). Sie erfolgt daher nur, wenn die Ermessenseinschätzung pflichtgemäss vorgenommen wurde.</w:t>
      </w:r>
    </w:p>
    <w:p>
      <w:r>
        <w:rPr>
          <w:b/>
        </w:rPr>
        <w:t>E. 2.7</w:t>
      </w:r>
    </w:p>
    <w:p>
      <w:r>
        <w:t>Die Mehrwertsteuerforderung verjährt gemäss Art. 49 Abs. 1 aMWSTG fünf Jahre nach Ablauf des Kalenderjahres, in dem sie entstanden ist. Der Lauf der Verjährungsfrist wird durch jede Einforderungshandlung und jede Berichtigung durch die zuständige Behörde gegenüber allen Zahlungspflichtigen unterbrochen (Art. 49 Abs. 2 und 3 aMWSTG). Jede Unterbrechungshandlung führt dazu, dass die Frist neu zu laufen beginnt. Die Einforderungshandlung ist nach der bundesgerichtlichen Rechtsprechung an keine besondere Form gebunden. So fallen unter den Begriff der Einforderungshandlung nicht nur die eigentlichen Steuerbezugshandlungen; jede der mehrwertsteuerpflichtigen Person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bzw. einer Gutschrift oder die Aufforderung bzw. Mahnung zur Zahlung (vgl. statt vieler BGE 126 II 1 E. 2c; Urteil des Bundesgerichts 2C_806/2008 vom 1. Juli 2009 E. 2.2.4, Urteil des Bundesverwaltungsgerichts A-7843/2010 vom 22. Juli 2011 E. 2.2; Beusch, a.a.O., S. 299 ff. mit zahlreichen weiteren Hinweisen). Die Steuerforderung verjährt in jedem Fall 15 Jahre nach Ablauf des Kalenderjahres, in dem sie entstanden ist (Art. 49 Abs. 4 aMWSTG). Die Verjährung der Mehrwertsteuer­forderung ist von Amtes wegen zu prüfen (BGE 133 II 366 E. 3.3; Urteil des Bundesgerichts 2C_227/2010 vom 5. August 2010 E. 2.2; BVGE 2009/12 E. 6.3.1; Beusch, a.a.O., S. 282 mit zahlreichen weiteren Hinweisen).</w:t>
      </w:r>
    </w:p>
    <w:p>
      <w:r>
        <w:rPr>
          <w:b/>
        </w:rPr>
        <w:t>E. 3.1</w:t>
      </w:r>
    </w:p>
    <w:p>
      <w:r>
        <w:t>Der Beschwerdeführer bringt als Erstes vor, die Firma ...-Taxi erziele ihren Hauptumsatz mit dem Transport von Schülern der Sprachheilschule .... Dabei handle es sich um eine Dienstleistung im Bereich des Bildungswesens, die von der Schule und in deren Namen erbracht worden sei. Der Beschwerdeführer will damit wohl geltend machen, dass die Sprachheilschule selbst den Schülern die "Transportdienstleistung" erbringe, und dass es sich dabei - weil Schüler transportiert werden - um eine Form von einer von der Mehrwertsteuer ausgenommenen Leistung im Bereich des Bildungswesens (vgl. Art. 18 aMWSTG) handle. Dabei scheint er davon auszugehen, dass eine (allfällige) Steuerausnahme auch für ihn gelte. Ob im Verhältnis zwischen den Schülern und der Sprachheilschule überhaupt ein Leistungsverhältnis vorliegt, und ob die Schule dabei allenfalls von der Steuer ausgenommene Leistungen erbringt, braucht vorliegend nicht geklärt zu werden. Denn der Beschwerdeführer verkennt, dass eine allfällige Steuerausnahme sich nicht auf ihn auswirken würde, da diese lediglich in der letzten Phase, d.h. bei der Leistung an die Endkonsumenten greifen würde. Ausserdem verkennt der Beschwerdeführer, dass er selbst gegenüber der Schule mehrwertsteuerlicher Leistungserbringer ist. Indem er für die Schule die Schüler gegen Entgelt befördert, erbringt er der Sprachheilschule eine Leistung im Sinne des Mehrwert­steuerrechts. Mangels Vorliegens einer Steuerbefreiung oder Steuerausnahme für die vom Beschwerdeführer erbrachte Art von Leistung handelt es sich um eine steuerbare Leistung.</w:t>
      </w:r>
    </w:p>
    <w:p>
      <w:r>
        <w:rPr>
          <w:b/>
        </w:rPr>
        <w:t>E. 3.2</w:t>
      </w:r>
    </w:p>
    <w:p>
      <w:r>
        <w:t>Weiter bringt der Beschwerdeführer vor, beim Autogaragenbetrieb handle es sich um eine Kollektivgesellschaft, die in den Jahren 2007 bis 2011 "dem Junior und dem Senior X._______" gehört habe. Was der Beschwerdeführer mit diesem Argument zu seinen Gunsten ableiten will, bleibt unklar. Vermutlich wendet er sich damit - ähnlich wie vor der Vorinstanz - gegen die unbestrittenermassen seine Steuerpflicht auslösende Addition der Umsätze des Taxi- sowie des Autogaragenbetriebes und damit gegen die Anwendung des Grundsatzes der Einheit der Unternehmung (vgl. E. 2.3). Zunächst ist festzuhalten, dass der Beschwerdeführer noch im Jahre 2008 (vgl. act. 35, Fragebogen zur Abklärung der Mehrwertsteuerpflicht) angegeben hat, dass die Autogarage in der Rechtsform der Einzelfirma betrieben werde. Entgegenstehende Beweismittel (z.B. Gesellschaftsvertrag, Handelsregisterauszug), wonach hinsichtlich des Autogaragenbetriebes - anders als auf dem Fragebogen angegeben - eine Kollektivgesellschaft vorgelegen haben soll, hat der Beschwerdeführer im Verfahren vor dem Bundesverwaltungsgericht nicht eingereicht. Im online-Handelsregister des Kantons ... (besucht am 22. August 2013) ist im hier strittigen Zeitraum keine Gesellschaft aufzufinden, an der er und sein Sohn beteiligt gewesen wären (auch nicht unter den gelöschten Firmen). Indizien, wonach der Sohn im massgebenden Zeitraum am Garagenbetrieb beteiligt gewesen sein soll, liegen keine vor. Ausserdem hat der Beschwerdeführer vor der Vorinstanz - im Widerspruch zum vorliegenden Verfahren - behauptet, sein Sohn sei Mitinhaber beider Betriebe (Taxi- und Garagenbetrieb) gewesen, ohne allerdings auch hierfür - trotz wiederholter entsprechender Aufforderung - geeignete Beweismittel beigebracht zu haben. Die Vorinstanz hat in ihrem sorgfältig begründeten Einspracheentscheid (dortige Ziffer 3.1.3) eingehend dargelegt, weshalb sämtliche Umsätze dem Beschwerdeführer zuzurechnen sind. Der beschwerdeführerische Einwand ist folglich unbegründet, und es ist daran festzuhalten, dass die aus den beiden Betrieben erzielten Umsätze aufgrund des Prinzips der Einheit der Unternehmung (E. 2.3) dem Beschwerdeführer zuzurechnen sind. 4.1 Hinsichtlich der Schätzung beanstandet der Beschwerdeführer, dass die Aufrechnung "jeglicher Basis" "entbinde" und somit willkürlich sei. Es sei zu Unrecht unterlassen worden, die "Zahlen der Konkurrenz auf dem Platz ..." beizuziehen. Mit diesen Argumenten wendet sich der Beschwerdeführer nicht gegen die Zulässigkeit der Vornahme einer Schätzung an sich, sondern er kritisiert ausschliesslich die Berechnungsmethode. Bevor darauf näher einzugehen sein wird (E. 4.3), ist als erstes zu prüfen, ob die Voraussetzungen für die Vornahme einer Ermessensveranlagung gegeben waren (vgl. E. 2.6.2). 4.2 Vorab zu bemerken ist, dass die Vorinstanz lediglich die Umsätze aus den Taxifahrten, nicht jedoch diejenigen, welche der Beschwerdeführer mit den Schulbusfahrten erzielte, geschätzt hat. Für die Bestimmung des Umsatzes aus Letzteren hat die Vorinstanz die entsprechenden Kundenrechnungen bei der Sprachheilschule eingefordert. 4.2.1 Betreffend die Umsätze aus dem Taxibetrieb ist festzuhalten, dass der Beschwerdeführer unbestrittenermassen kein Kassabuch geführt hat. Die Bargeldumsätze wurden lediglich Ende Monat über das Kassakonto verbucht. Nach der Rechtsprechung war der Beschwerdeführer gehalten, durch geeignete Massnahmen periodisch zu überprüfen, ob er die Voraussetzungen der Steuerpflicht erfüllt (E. 2.4.2). Ein Taxibetrieb der vorliegenden Art gilt als bargeldintensiver Betrieb (vgl. Urteile des Bundesverwaltungsgerichts A-4922/2012 vom 14. Juni 2013 E. 3.1, A 4876/2012 vom 11. März 2013 E. 3.1.2, A 5510/2011 vom 23. Januar 2012 E. 3.1, A 2998/2009 vom 11. No­vem­ber 2010 E. 3.2.1), weshalb für diese Prüfung die Führung eines tagfertigen Kassabuches zwingend erforderlich ist bzw. ge­wesen wäre. Die Bareinnahmen und Barausgaben müssen darin fortlaufend, lückenlos und zeitnah aufgezeichnet und durch Kassenstürze kontrolliert werden (vgl. auch Urteil des Bundesgerichts 2A.109/2005 vom 10. März 2006 E. 2.2 und E. 4.3 mit insoweit ähnlicher Sachverhaltskonstellation). Bereits aufgrund des Fehlens eines solchen Kassabuches ist die Buchführung des Beschwerdeführers mangelhaft. 4.2.2 Die Voraussetzungen für eine Ermessenseinschätzung lagen demnach vor und die ESTV war deshalb nicht nur berechtigt, sondern auch verpflichtet, eine solche vorzunehmen (E. 2.6.1). 4.3 Als zweites hat das Bundesverwaltungsgericht nun - mit der gebotenen Zurückhaltung (E. 2.6.2) - zu prüfen, ob ein bei dieser Schätzung begangener Ermessensfehler erkennbar ist. 4.3.1 Bei der Schätzung ist die Vorinstanz folgendermassen vorgegangen: Sie hat - da die Fahrtenschreiber nicht vollständig vorgelegt werden konnten - die geschäftlich gefahrenen Kilometer anhand der Prüfberichte des Strassenverkehrsamts des Kantons ... für das Fahrzeug mit dem Kennzeichen ... ermittelt. Dieses Fahrzeug wurde gegenüber dem Strassenverkehrsamt als Taxi angegeben. Damit wurden zwischen dem 31. Mai 2006 und dem 2. Februar 2010 insgesamt 140'766 km zurückgelegt. Dies entspricht durchschnittlich 38'257 km pro Jahr. Da die Vorinstanz für ... über keine Erfahrungswerte verfügt (nach Angaben der Vorinstanz existieren gemäss Eintrag im lokalen Telefonbuch lediglich zwei Taxibetriebe in ...), hat sie sich auf die Taxi-Betriebsbewilligung ... der Gemeinde ... abgestützt, welche die Taxihöchsttarife für das Jahr ... enthält. Taxi-Betriebs­bewilligungen späterer Jahre existieren nicht. Diese Betriebsbewilligung enthält folgende Höchstsätze: Grundtaxe (Fr. 4.-); Ansatz pro km für Fahrten in der Zeit von 06.00 bis 24.00 Uhr (Fr. 3.20); Ansatz pro km für Nachtfahrten von 24.00 bis 06.00 Uhr (Fr. 4.-); Ansatz pro km für Fahrten, bei denen weder Start noch Ziel bei Taxistandplatz liegen (Ausgleichstarif; Fr. 6.40); Wartezeit pro Stunde (Fr. 50.-). Basierend auf diesen Zahlen ermittelte die ESTV einen Mischansatz von Fr. 3.40 pro Kilometer (enthaltend auch Nachtfahrten, Abholfahrten sowie Wartezeit). Ausgehend davon, dass es sich bei der Hälfte der Fahrten um Leerfahrten (Rückweg, Abholweg, Arbeitsweg etc.) handelt, halbierte sie diesen Wert (Fr. 3.40 / 2 = Fr. 1.70). Die jährlich insgesamt gefahrenen Kilometer wurden mit dem eben ermittelten Wert multipliziert (38'257 km x Fr. 1.70.- = Fr. 66'037.-). Ausgehend von der Annahme, dass eine durchschnittliche Fahrtstrecke 20 km beträgt, errechnete die ESTV die jährliche Anzahl der Einzelfahrten (1'912). Diese Anzahl multiplizierte sie mit der Grundtaxe (Fr. 4.- x 1'912 = Fr. 7'648.-). Das daraus resultierende Total der Grundtaxe und das Total der gefahrenen Kilometer ergeben zusammen den geschätzten Umsatz pro Jahr (Fr. 72'685.-). In einem weiteren Schritt plausibilisierte die ESTV die Schätzung anhand des anderen, in ... existierenden, Taxibetriebes. Ein Vergleich ergab, dass dieser Taxibetrieb nur minimal höhere Tarife anwendet. 4.3.2 Die Vorinstanz hat damit rechtsgenügend detailliert und nachvollziehbar dargelegt, auf welcher Grundlage sie die Schätzung vorgenommen hat und wie sie bei der Ermittlung des Umsatzes methodisch vorgegangen ist. Sie ist dabei von plausiblen und schlüssigen Annahmen ausgegangen und das Vorgehen erscheint insgesamt vernünftig und zweckmässig. Die ESTV konnte nicht auf Erfahrungszahlen zurückgreifen, sie hat aber Auskünfte bei Dritten eingeholt (vgl. E. 2.5.3) und die Schätzung anhand eines Vergleichs mit dem (einzigen) Konkurrenzbetrieb plausibilisiert. Dabei hat sich ergeben, dass dieser Betrieb nur minimal höhere Tarife anwandte, weshalb das sich zu Gunsten des Beschwerdeführenden auswirkende Abstellen auf die Taxihöchsttarife der Gemeinde ... des Jahres ... nicht zu beanstanden ist. Inwiefern gesamthaft betrachtet der ESTV erhebliche Ermessensfehler unterlaufen sein sollen und sich die Schätzung offensichtlich als falsch erweisen soll, ist nicht ersichtlich. 4.4 4.4.1 Sind - wie im vorliegenden Fall - die Voraussetzungen einer Ermessenstaxation erfüllt und verstösst diese nicht erkennbar gegen Bundesrecht, obliegt es der (gegebenenfalls) steuerpflichtigen Person, den Beweis für die Unrichtigkeit der Schätzung zu erbringen. Sie hat sich mit den Elementen der vorgenommenen Ermessenstaxation im Einzelnen zu befassen und aufzuzeigen, dass und inwiefern die Schätzung nicht auf haltbaren Grundlagen beruht. Sie darf sich dabei nicht darauf beschränken, die Kalkulationsgrundlagen der Ermessens­ver­anlagung allgemein zu kritisieren; vielmehr hat sie darzulegen, dass die von der ESTV vorgenommene Schätzung offensichtlich falsch ist bzw. dass dieser dabei erhebliche Ermessensfehler unterlaufen sind, und sie hat auch den Nachweis für ihre vorgebrachten Behauptungen zu erbringen (vgl. oben E. 2.6.2). 4.4.2 Der Beschwerdeführer wendet primär ein, die Schätzung sei "willkürlich" (vgl. E. 4.1). Er versäumt es aber, sich mit den einzelnen Elementen der Schätzung auch nur ansatzweise auseinander zu setzen und Beweismittel für seine Behauptung beizubringen. Er hat auch in keiner Weise dargelegt, dass die Verhältnisse im massgebenden Zeitraum rechtswesentlich unterschiedlich gewesen wären, so dass die von der ESTV angewandte Methode der Berechnung des Jahresdurchschnittes, die ebenfalls eine Form des Umlageverfahrens (vgl. E. 2.5.3) darstellt, nicht zu beanstanden ist. Es gelingt ihm mit seiner bloss allgemein geäusserten Kritik an der Schätzung der Vorinstanz nicht, Zweifel an deren Richtigkeit zu wecken. Dass die Vorinstanz es - wie der Beschwerdeführer behauptet - unterlassen habe, bei der Schätzung die Konkurrenz zu berücksichtigen, ist angesichts des Dargelegten (vgl. E. 4.3.1 in fine) nicht haltbar. Insgesamt vermögen die lediglich pauschal vorgebrachten Einwände des Beschwerdeführers in keiner Weise, die pflichtgemäss vorgenommen Schätzung der ESTV in Frage zu stellen. 4.5 Damit bleibt der Einwand des Beschwerdeführers, wonach die Verjährung nicht beachtet worden sei, zu prüfen. Vorliegend sind die Steuerperioden 1. Semester 2004 bis 2. Semester 2009 strittig. Das Recht, eine Steuerforderung festzusetzen, verjährt grund­sätzlich fünf Jahre nach Ablauf der Steuerperiode, in der die Steuerforderung entstanden ist (E. 2.7). Im vorliegenden Fall wurde die Fünfjahres-Frist mit Ergänzungsabrechnung vom 12. Februar 2009 (betreffend 1. Semester 2003 bis 1. Semester 2008) und mit (zwei) Ergänzungsabrechnungen je vom 8. Dezember 2009 (betreffend 2. Semester 2008 und betreffend 1. Semester 2009) unterbrochen. Ab diesen erwähnten Daten begann die Verjährungsfrist von fünf Jahren jeweils neu zu laufen. Die Verjährung wurde sodann erneut mit Einspracheentscheid vom 2. Juli 2010 (betreffend die Steuerperiode 1. Semester 2003 bis 1. Semester 2009) - unter ausdrücklichem Vorbehalt einer Kontrolle - unterbrochen. (Der Vollständigkeit halber ist an dieser Stelle festzuhalten, dass - wie die ESTV erklärte - für allfällige Steuerforderungen vor 2004 die Verjährung eingetreten ist.) Mit (zwei) EM je vom 31. Mai 2011 (betreffend die Steuerperioden 1. Semester 2004 bis 2. Semester 2006 und betreffend 1. Semester 2007 bis 2. Semester 2009) erfolgten weitere Unterbrechungshandlungen. Schliesslich wurde mit Einspracheentscheid vom 9. November 2012 (betreffend die Steuerperioden 1. Semester 2004 bis 2. Semester 2009) von Seiten der ESTV die Verjährung erneut und innerhalb der absoluten Frist von 15 Jahren (vgl. E. 2.7) unterbrochen. Der Vorwurf, die Verjährung sei nicht beachtet worden, geht daher fehl.</w:t>
      </w:r>
    </w:p>
    <w:p>
      <w:r>
        <w:rPr>
          <w:b/>
        </w:rPr>
        <w:t>E. 5</w:t>
      </w:r>
    </w:p>
    <w:p>
      <w:r>
        <w:t>Ausgangsgemäss ist die Beschwerde abzuweisen. Die Verfahrenskosten im Betrag vom Fr. 5'000.- sind dem Beschwerdeführer aufzuerlegen und mit dem von ihm in gleicher Höhe geleisteten Kostenvorschuss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