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A-6532/2020 vom 21. Dezember 2021</w:t>
      </w:r>
    </w:p>
    <w:p>
      <w:r>
        <w:t>Bundesverwaltungsgericht, 2021-12-21, DE</w:t>
      </w:r>
    </w:p>
    <w:p>
      <w:r>
        <w:rPr>
          <w:b/>
        </w:rPr>
        <w:t xml:space="preserve">Quelle: </w:t>
      </w:r>
      <w:r>
        <w:t>https://mcp.opencaselaw.ch/entscheid/bvger_A-6532_2020</w:t>
      </w:r>
    </w:p>
    <w:p>
      <w:r>
        <w:t>FR: TAF A-6532/2020 du 21 décembre 2021</w:t>
      </w:r>
    </w:p>
    <w:p>
      <w:r>
        <w:t>IT: TAF A-6532/2020 del 21 dicembre 2021</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Die Beschwerdeführenden haben am vorinstanzlichen Verfahren teilgenommen und sind als Adressaten der angefochtenen Schlussverfügung und Personen, die vom Amtshilfeersuchen betroffen sind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w:t>
      </w:r>
    </w:p>
    <w:p>
      <w:r>
        <w:t>Mit ihrem Hauptantrag verlangen die Beschwerdeführenden die Aufhebung der angefochtenen Schlussverfügung und Rückweisung der Sache an die Vorinstanz aus formellen Gründen.</w:t>
      </w:r>
    </w:p>
    <w:p>
      <w:r>
        <w:rPr>
          <w:b/>
        </w:rPr>
        <w:t>E. 2.1</w:t>
      </w:r>
    </w:p>
    <w:p>
      <w:r>
        <w:t>Sie machen geltend, dass die vorinstanzliche Verfügung lediglich «in Vertretung» von einer für sie nicht erkennbaren und möglicherweise nicht berechtigten Person unterzeichnet worden sei.</w:t>
      </w:r>
    </w:p>
    <w:p>
      <w:r>
        <w:rPr>
          <w:b/>
        </w:rPr>
        <w:t>E. 2.1.1</w:t>
      </w:r>
    </w:p>
    <w:p>
      <w:r>
        <w:t>Schlussverfügungen der ESTV im Bereich der Steueramtshilfe sind grundsätzlich schriftlich zu eröffnen (Art. 5 Abs. 1 StAhiG i.V.m. Art. 34 Abs. 1 VwVG). Diese sind weiter als Verfügungen zu bezeichnen und müssen eine Begründung sowie eine Rechtsmittelbelehrung enthalten (Art. 5 Abs. 1 StAhiG i.V.m. Art. 35 VwVG).</w:t>
      </w:r>
    </w:p>
    <w:p>
      <w:r>
        <w:rPr>
          <w:b/>
        </w:rPr>
        <w:t>E. 2.1.2</w:t>
      </w:r>
    </w:p>
    <w:p>
      <w:r>
        <w:t>Im kürzlich ergangenen Urteil A-6219/2020 vom 31. Mai 2021, welches ebenfalls ein Steueramtshilfeverfahren basierend auf einem sog. Listenersuchen betraf, erwog das Bundesverwaltungsgericht, dass die handschriftliche Unterschrift der Verfügung im Bereich der internationalen Steueramtshilfe kein Gültigkeitserfordernis darstelle (E. 3.2 ff. des Urteils). Es begründete dies in erster Linie damit, dass weder das StAhiG noch das VwVG ein Unterschriftserfordernis für Verfügungen ausdrücklich vorsähen; dies namentlich im Gegensatz zur Regelung bei der Beschwerdeschrift (vgl. Art. 52 Abs. 1 VwVG) oder bei Entscheiden des Bundesverwaltungsgerichts (s. Art. 35 des Geschäftsreglements für das Bundesverwaltungsgericht vom 17. April 2008 [VGR, SR 173.320.1]; ausführlich dazu: E. 3.5.1 des genannten Urteils). Weiter wies das Gericht darauf hin, dass die Unterschrift auch im Bereich der sog. Massenverfahren generell kein Gültigkeitserfordernis darstelle (E. 3.5.2 des Urteils). Es kam daher zum Schluss, dass die Unterzeichnung der Schlussverfügung durch eine Person der ESTV «im Auftrag» einer anderen Person nicht zu beanstanden sei. An den dargelegten rechtlichen Erwägungen des Urteils A-6219/2020 vom 31. Mai 2021 und der Schlussfolgerung ist auch für das vorliegende Verfahren festzuhalten. Nichts an der rechtlichen Beurteilung ändert, dass die Unterschrift nicht «im Auftrag», sondern «in Vertretung» erfolgte. Sodann ist entgegen der Andeutung der Beschwerdeführenden vorliegend trotz der «in Vertretung» erfolgten Unterschrift sowohl die verfügende Behörde, nämlich die ESTV, Dienst für Informationsaustausch, als auch die Person, in deren Namen unterschrieben wurde und die letztlich den Entscheid zu verantworten hat, klar ersichtlich. Es bestehen keine Zweifel, dass die Schlussverfügung von der sachlich und funktionell zuständigen Behörde erlassen wurde.</w:t>
      </w:r>
    </w:p>
    <w:p>
      <w:r>
        <w:rPr>
          <w:b/>
        </w:rPr>
        <w:t>E. 2.2</w:t>
      </w:r>
    </w:p>
    <w:p>
      <w:r>
        <w:t>Die Beschwerdeführenden sehen weiter ihren Anspruch auf rechtliches Gehör verletzt. Sie machen geltend, dass sich die Vorinstanz im Zusammenhang mit dem Aspekt der Verletzung des Grundsatzes von Treu und Glauben zu ihrem Nachteil auf eine Erklärung der deutschen Steuerbehörde stütze, welche diese im Rahmen eines parallel hängigen Amtshilfeverfahrens abgegeben habe. Zudem stelle die Vorinstanz auf Eingaben von Personen ab, die von einem ähnlich lautenden Amtshilfeersuchen gestützt auf dieselbe Datenquelle betroffen seien. Sie (die Beschwerdeführenden) hätten keine Kenntnis von diesen Aktenstücken und hätten sich im vorinstanzlichen Verfahren auch nicht zu deren Inhalt äussern können.</w:t>
      </w:r>
    </w:p>
    <w:p>
      <w:r>
        <w:rPr>
          <w:b/>
        </w:rPr>
        <w:t>E. 2.2.1</w:t>
      </w:r>
    </w:p>
    <w:p>
      <w:r>
        <w:t>Das Recht auf Akteneinsicht ist Teil des verfassungsrechtlichen Anspruchs auf rechtliches Gehör, welcher in Art. 29 Abs. 2 der Bundesverfassung der Schweizerischen Eidgenossenschaft (BV, SR 101) verankert ist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[nachfolgend: Praxiskommentar VwVG], Art. 26 N 32). Im Bereich der internationalen Steueramtshilfe wird (für das Verfahren vor der ESTV) das Recht auf Akteneinsicht explizit in Art. 15 StAhiG festgehalten. Gemäss Art. 15 Abs. 1 StAhiG können sich die beschwerdeberechtigten Personen am Verfahren beteiligen und Einsicht in die Akten nehmen. Soweit die ausländische Behörde Geheimhaltungsgründe hinsichtlich gewisser Aktenstücke glaubhaft macht, kann die ESTV gemäss Art. 15 Abs. 2 StAhiG einer beschwerdeberechtigten Person die Einsicht in die entsprechenden Aktenstücke nach Art. 27 VwVG verweigern. Im Übrigen finden die Bestimmungen des VwVG Anwendung, soweit das StAhiG nichts anderes bestimmt (vgl. Art. 5 Abs. 1 StAhiG). Gemäss Art. 26 Abs. 1 VwVG hat die Partei oder ihr Vertreter u.a. Anspruch darauf, in ihrer Sache alle als Beweismittel dienenden Aktenstücke (Bst. b) einzusehen. Nach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Liegen Geheimhaltungsgründe vor, ist aufgrund einer Interessenabwägung zwischen dem Geheimhaltungsinteresse einerseits und dem Interesse auf Akteneinsicht andererseits abzuwägen. Wegleitend für die Abwägung ist das Verhältnismässigkeitsprinzip (Art. 5 Abs. 2 BV; Zwischenverfügung des BVGer A-6337/2014 vom 7. April 2015 E. 2 mit Hinweisen; Waldmann/Oeschger, Praxiskommentar VwVG, Art. 27 N 3 f.).</w:t>
      </w:r>
    </w:p>
    <w:p>
      <w:r>
        <w:rPr>
          <w:b/>
        </w:rPr>
        <w:t>E. 2.2.2</w:t>
      </w:r>
    </w:p>
    <w:p>
      <w:r>
        <w:t>Wie sich aus den Vorbringen der Beschwerdeführenden und der Ziff. 6.4 der angefochtenen Schlussverfügung ergibt, handelt es sich bei den streitbetroffenen Aktenstücken um eine durch die deutsche Steuerbehörde im Rahmen eines parallelen Amtshilfeverfahrens abgegebene Erklärung, eine durch die UBS in einem laufenden Untersuchungsverfahren der Bundesanwaltschaft eingereichte Stellungnahme sowie um einen Durchsuchungsbeschluss der Staatsanwaltschaft Bochum. Die Vorinstanz verweigerte die Einsicht in diese Akten im vorinstanzlichen Verfahren laut Schlussverfügung, weil es sich dabei um Akten betreffend Drittverfahren handle, die nicht zu den Verfahrensakten gehörten. Soweit sie (die ESTV) diese Akten vorliegend für die Sachverhaltsfeststellung beigezogen habe, könne für deren wesentlichen Inhalt auf die bereits gemachten Ausführungen in der Schlussverfügung verwiesen werden. Da sich der für die Beurteilung von Art. 7 Bst. c StAhiG relevante Sachverhalt bereits rechtsgenüglich aus dem Amtshilfeersuchen ergebe, habe sie (die ESTV) davon absehen können, den Parteien vor Erlass der Schlussverfügung Gelegenheit zu geben, sich dazu zu äussern, zumal sie nicht zum Nachteil der Parteien auf diese Akten abstelle (zum Ganzen: Schlussverfügung Ziff. 6.4 in fine).</w:t>
      </w:r>
    </w:p>
    <w:p>
      <w:r>
        <w:rPr>
          <w:b/>
        </w:rPr>
        <w:t>E. 2.2.3</w:t>
      </w:r>
    </w:p>
    <w:p>
      <w:r>
        <w:t>Die Argumentation der Vorinstanz, wonach es sich bei den streitbetroffenen Akten nicht um Verfahrensakten handle, vermag nicht zu überzeugen: In der Schlussverfügung führt sie selbst aus, dass zu klären sei, ob den Parteien Einsicht in diese Aktenstücke zu gewähren sei, die für die Sachverhaltsfeststellung beigezogen worden seien. Dass die Vorinstanz einen Aktenbeizug nicht formell verfügt hat, ändert nichts am Umstand, dass sie diese Akten im Rahmen der Begründung der Schlussverfügung erwähnt und somit verwendet hat. Die Frage, ob die Erwähnung dieser Aktenstücke notwendig war, kann hier offenbleiben. Zu prüfen bleibt vielmehr, ob Gründe für die Einschränkung der Akteneinsicht bestehen.</w:t>
      </w:r>
    </w:p>
    <w:p>
      <w:r>
        <w:rPr>
          <w:b/>
        </w:rPr>
        <w:t>E. 2.2.4</w:t>
      </w:r>
    </w:p>
    <w:p>
      <w:r>
        <w:t>Vorliegend hat die ersuchende Behörde in Bezug auf die streitbetroffenen Akten keine Geheimhaltungsgründe glaubhaft gemacht. Die Einschränkung der Akteneinsicht muss daher in Anwendung von Art. 27 VwVG durch überwiegende private oder öffentliche Interessen gerechtfertigt sein. Was die Erklärung der deutschen Steuerbehörde in einem parallelen Amtshilfeverfahren (siehe dazu auch: Urteil des BVGer A-1499/2017 vom 3. August 2017 Bst. F.d des Sachverhalts) sowie den Durchsuchungsbeschluss der Staatsanwaltschaft Bochum betrifft, so ist davon auszugehen, dass die deutschen Behörden nicht wollen, dass diese Dokumente in Amtshilfeverfahren, die von anderen Staaten ausgelöst wurden, vollständig offengelegt werden. Die Gewährung der Akteneinsicht in solche Dokumente könnte zu Verstimmungen im Verhältnis der schweizerischen und deutschen Behörden führen, was nicht im Interesse der Schweiz wäre, der daran gelegen ist, im internationalen Verhältnis gute Beziehungen zwischen den Behörden zu pflegen (vgl. Zwischenverfügung des BVGer A-5506/2015 vom 23. März 2016 E. 4.2). Gleichsam dürfte auch die in das deutsche Strafverfahren involvierte Bank ein erhebliches Interesse an der Geheimhaltung der sie betreffenden Strafakten (hier: des Durchsuchungsbeschlusses) und einer Stellungnahme in einem strafrechtlichen Gerichtsverfahren haben. Demgegenüber erscheint das Interesse der Beschwerdeführenden an der Akteneinsicht als weniger gewichtig, zumal sie von diesen, in anderen Verfahren erstellten Akten im Wesentlichen nur insofern betroffen sind, als diese zum Verständnis des Gesamtkontextes beitragen. Dieser Gesamtkontext bildete zwischenzeitlich aber auch Gegenstand mehrerer öffentlich zugänglicher Gerichtsurteile und kann diesen hinreichend entnommen werden. Nach dem Gesagten ist aufgrund von Art. 27 Abs. 1 Bst. a und b VwVG im Ergebnis nicht zu beanstanden, dass die Vorinstanz die Einsicht in die streitbetroffenen Akten verweigert hat.</w:t>
      </w:r>
    </w:p>
    <w:p>
      <w:r>
        <w:rPr>
          <w:b/>
        </w:rPr>
        <w:t>E. 2.2.5</w:t>
      </w:r>
    </w:p>
    <w:p>
      <w:r>
        <w:t>Zu prüfen bleibt, ob diese Aktenstücke im Zusammenhang mit einer allfälligen Verletzung von Treu und Glauben zum Nachteil der Beschwerdeführenden verwendet wurden (vgl. dazu auch: E. 4.5.3). In Ziff. 6.5 der Schlussverfügung setzt sich die Vorinstanz mit der Frage auseinander, ob das Amtshilfeersuchen überhaupt auf einer «strafbaren Handlung» basiert. Weiter erwägt sie, dass - selbst wenn am Ursprung des Ersuchens eine strafbare Handlung gestanden hätte - die Kausalkette namentlich durch die Hausdurchsuchung bei der Bank in Deutschland durchbrochen worden sei. Schliesslich verneint die Vorinstanz eine Verletzung von Treu und Glauben durch den ersuchenden Staat, weil Österreich keine Zusicherung abgegeben habe, keine gestohlenen Daten zu verwenden, und die ersuchende Behörde die Daten auf legalem Weg amtshilfeweise erhalten habe. Bei genauer Betrachtung der vorinstanzlichen Begründungskaskade entpuppt sich die fehlende Zusicherung Österreichs und der Umstand, dass Österreich die Daten auf legalem Weg erhalten hat, als Hauptbegründung, die in keinem Zusammenhang mit den streitbetroffenen Aktenstücken steht. Zwar weisen die vorangestellten Ausführungen inhaltlich einen Bezug zu den streitbetroffenen Akten auf, dennoch stützt die Vorinstanz ihre Argumentation nicht auf diese Aktenstücke, sondern auf ein Urteil des Bundesstrafgerichts und einen Presseartikel. Dass das vorliegende Ersuchen auf Daten basiert, die aus einer Hausdurchsuchung bei einer deutschen Niederlassung einer schweizerischen Bank stammen, ergibt sich sodann explizit aus dem Amtshilfeersuchen. Es ist folglich nicht erkennbar, dass die Vorinstanz in Missachtung von Art. 28 VwVG zum Nachteil der Beschwerdeführenden auf die streitbetroffenen Aktenstücke abgestellt hat. Zu ergänzen ist, dass die Vorinstanz den wesentlichen Inhalt der streitbetroffenen Akten mit der Schlussverfügung bekanntgegeben hat. Eine Verletzung des rechtlichen Gehörs durch die Vorinstanz liegt nicht vor (vgl. dazu auch: Urteil des BVGer A-3045/2020 vom 29. März 2021 E. 5.4).</w:t>
      </w:r>
    </w:p>
    <w:p>
      <w:r>
        <w:rPr>
          <w:b/>
        </w:rPr>
        <w:t>E. 3.1</w:t>
      </w:r>
    </w:p>
    <w:p>
      <w:r>
        <w:t>Die Amtshilfeklausel von Art. 26 DBA CH-AT entspricht in seinem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3.2.1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3.2.2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3.2.3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 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Absatz 3 oder entgegenstehender Bestimmungen des innerstaatlichen Rechts verfügen die Steuerbehörden des ersuchten Vertragsstaats über die Befugnis, die Offenlegung der in diesem Absatz genannten Informationen durchzusetzen.</w:t>
      </w:r>
    </w:p>
    <w:p>
      <w:r>
        <w:rPr>
          <w:b/>
        </w:rPr>
        <w:t>E. 3.3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3.3.1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3.3.2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3.3.2.1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3.3.2.2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3.3.3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3.4</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3.5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4</w:t>
      </w:r>
    </w:p>
    <w:p>
      <w:r>
        <w:t>In einem ersten Schritt ist zu prüfen, ob die Vorinstanz zu Recht auf das Amtshilfeersuchen des CLO vom 16. Februar 2017 eingetreten ist.</w:t>
      </w:r>
    </w:p>
    <w:p>
      <w:r>
        <w:rPr>
          <w:b/>
        </w:rPr>
        <w:t>E. 4.1</w:t>
      </w:r>
    </w:p>
    <w:p>
      <w:r>
        <w:t>Das vorliegend zu beurteilende Amtshilfeersuchen stützt sich auf eine Liste mit ursprünglich über 8000 eindeutig zuordenbaren Kundenstammnummern, mithilfe derer die ESTV und die zur Edition aufgeforderte Bank die betroffenen Personen in der Folge identifizieren und die ersuchten Informationen zusammenstellen konnten. Nebst den erwähnten Banknummern enthält das Ersuchen weder Namen noch Adressen der betroffenen Personen. Ein solches «Listenersuchen» stellt nach der gefestigten Rechtsprechung eine nach innerstaatlichem Recht grundsätzlich zulässige Sammlung von Einzelersuchen dar, welche nicht mit einem Gruppenersuchen im Sinn von Art. 3 Bst. c StAhiG zu verwechseln ist (ausführlich dazu: BGE 146 II 150 E. 4).</w:t>
      </w:r>
    </w:p>
    <w:p>
      <w:r>
        <w:rPr>
          <w:b/>
        </w:rPr>
        <w:t>E. 4.2.1</w:t>
      </w:r>
    </w:p>
    <w:p>
      <w:r>
        <w:t>Auch im Anwendungsbereich des DBA CH-AT ist eine solche Sammlung von Einzelersuchen, bei der die betroffenen Personen nicht namentlich identifiziert werden, grundsätzlich zulässig: Ziff. 2 Bst. c Unterabsatz (i) des Schlussprotokolls zum DBA CH-AT sieht die Möglichkeit einer Identifikation der betroffenen Person «auf andere Weise als durch Angabe des Namens und der Adresse» explizit vor (vorne E. 3.3.3). Durch die Angabe der Kundenstammnummer im Ersuchen ist das Erfordernis der Identifizierung der Beschwerdeführenden gemäss Ziff. 2 Bst. c Unterabsatz (i) des Schlussprotokolls zum DBA CH-AT damit grundsätzlich erfüllt.</w:t>
      </w:r>
    </w:p>
    <w:p>
      <w:r>
        <w:rPr>
          <w:b/>
        </w:rPr>
        <w:t>E. 4.2.2</w:t>
      </w:r>
    </w:p>
    <w:p>
      <w:r>
        <w:t>Entgegen der Ansicht der Beschwerdeführenden schliesst die fehlende Identifikation der betroffenen Person mittels Namen einen Austausch von Informationen auch betreffend das Steuerjahr 2012 nicht aus: Diese am 14. November 2012 in Kraft getretene Änderung von Ziff. 2 Bst. c Unterabsatz (i) des Schlussprotokolls zum DBA CH-AT wurde mit Art. I des von der Bundesversammlung genehmigten Protokolls vom 4. Juni 2012 zur Abänderung des DBA CH-AT eingefügt (vgl. AS 2012 6941; AS 2012 6939; BBl 2011 3749). In Art. II Ziff. 2 dieses Protokolls vereinbarten die Vertragsstaaten neben dem Inkrafttreten, dass das Protokoll «ab dem Datum des Inkrafttretens des am 3. September 2009 in Wien unterzeichneten Protokolls zur Änderung des Abkommens» Anwendung findet. Letzteres trat seinerseits am 1. März 2011 in Kraft (AS 2011 823; vgl. dazu auch vorne E. 3.1). Dies bedeutet, dass die am 14. November 2012 in Kraft getretene Änderung von Ziff. 2 Bst. c Unterabsatz (i) des Schlussprotokolls zum DBA CH-AT, welche auch eine Identifikation ohne Namensnennung erlaubt, rückwirkend ab dem 1. März 2011 anwendbar ist (vgl. zur Rückwirkung von Verfahrensregeln im Bereich der Steueramtshilfe: BGE 143 II 628 E. 4.3). Es ist somit und mit Blick auf die zeitliche Anwendbarkeit von Art. 26 DBA CH-AT (E. 3.1 in fine) nicht zu beanstanden, dass die ersuchende Behörde Informationen zu den Steuerjahren 2012 bis 2015 verlangt.</w:t>
      </w:r>
    </w:p>
    <w:p>
      <w:r>
        <w:rPr>
          <w:b/>
        </w:rPr>
        <w:t>E. 4.2.3</w:t>
      </w:r>
    </w:p>
    <w:p>
      <w:r>
        <w:t>Des Weiteren enthält das Amtshilfeersuchen auch die weiteren erforderlichen Angaben gemäss Ziff. 2 Bst. c des Schlussprotokolls (vorne E. 3.3.3).</w:t>
      </w:r>
    </w:p>
    <w:p>
      <w:r>
        <w:rPr>
          <w:b/>
        </w:rPr>
        <w:t>E. 4.3</w:t>
      </w:r>
    </w:p>
    <w:p>
      <w:r>
        <w:t>In Bezug auf das Subsidiaritätsprinzips nach Ziff. 2 Bst. a des Schlussprotokolls zum DBA CH-AT (vorne E. 3.3.1) hat die ersuchende Behörde im Amtshilfeersuchen bestätigt, dass alle üblichen Informationsquellen ausgeschöpft wurden, auf die es in diesem Fall hätte zugreifen können, um die erforderlichen Informationen einzuholen, ohne das Risiko einzugehen, das Ergebnis der Ermittlungen zu gefährden. Nach dem völkerrechtlichen Vertrauensprinzip (E. 3.5) besteht grundsätzlich kein Anlass an Erklärungen anderer Staaten zu zweifeln. Mangels gegenteiliger, konkreter Anhaltspunkte ist damit von der Einhaltung des Subsidiaritätsprinzips auszugehen.</w:t>
      </w:r>
    </w:p>
    <w:p>
      <w:r>
        <w:rPr>
          <w:b/>
        </w:rPr>
        <w:t>E. 4.4</w:t>
      </w:r>
    </w:p>
    <w:p>
      <w:r>
        <w:t>Zu prüfen ist weiter, ob das vorliegende Listenersuchen, den erhöhten Anforderungen genügt, um eine verbotene Beweisausforschung (sog. «fishing expedition») auszuschliessen (dazu vorne E. 3.3.2.2).</w:t>
      </w:r>
    </w:p>
    <w:p>
      <w:r>
        <w:rPr>
          <w:b/>
        </w:rPr>
        <w:t>E. 4.4.1</w:t>
      </w:r>
    </w:p>
    <w:p>
      <w:r>
        <w:t>Erforderlich ist erstens, dass das Ersuchen eine detaillierte Beschreibung der Gruppe enthält, welche die Tatsachen und speziellen Umstände nennt, die zum Ersuchen geführt haben. Das vorliegende Ersuchen identifiziert die betroffenen Personen mittels eindeutig zuordenbaren Kundenstammnummern. Eine hinreichend detaillierte Beschreibung der Gruppe ist damit vorliegend zu bejahen.</w:t>
      </w:r>
    </w:p>
    <w:p>
      <w:r>
        <w:rPr>
          <w:b/>
        </w:rPr>
        <w:t>E. 4.4.2</w:t>
      </w:r>
    </w:p>
    <w:p>
      <w:r>
        <w:t>Gemäss der dritten Voraussetzung hat die ersuchende Behörde aufzuzeigen, dass die verlangten Informationen geeignet sind, für die Erfüllung der steuerlichen Verpflichtungen der Steuerpflichtigen zu sorgen. Auch dieses Kriterium ist vorliegend erfüllt. Mit der Aufdeckung eines bisher im Rahmen der Steuererklärung nicht deklarierten Kontos - sofern ein solches besteht - erhält der ersuchende Staat die Möglichkeit, allfällige von Steuerpflichtigen zu Unrecht nicht entrichtete Steuern nachzufordern.</w:t>
      </w:r>
    </w:p>
    <w:p>
      <w:r>
        <w:rPr>
          <w:b/>
        </w:rPr>
        <w:t>E. 4.4.3</w:t>
      </w:r>
    </w:p>
    <w:p>
      <w:r>
        <w:t>Was die verbleibende zweite Voraussetzung betrifft, so muss das Amtshilfeersuchen das anwendbare Steuerrecht und die Motive darlegen, die es erlauben, davon auszugehen, dass die vom Ersuchen betroffenen Steuerpflichtigen ihre steuerlichen Verpflichtungen nicht erfüllt haben. Das hier streitbetroffene Amtshilfeersuchen Österreichs bezeichnet unbestrittenermassen das anwendbare Steuerrecht. Fraglich und zu prüfen bleibt, ob auch hinreichende Motive für die Annahme von Steuerpflichtverletzungen genannt werden.</w:t>
      </w:r>
    </w:p>
    <w:p>
      <w:r>
        <w:rPr>
          <w:b/>
        </w:rPr>
        <w:t>E. 4.4.3.1</w:t>
      </w:r>
    </w:p>
    <w:p>
      <w:r>
        <w:t>Gemäss der Rechtsprechung müssen für die Annahme einer Missachtung steuerrechtlicher Verpflichtungen konkrete Anhaltspunkte bzw. Verdachtsmomente vorliegen, wobei sich diese nicht auf die einzelnen Individuen beziehen, wohl aber in allgemeiner Weise auf die Personen in dieser Gruppe. Je nach den Umständen kann auch die Art und Weise, wie der ersuchende Staat Kenntnis von der Liste erlangt hat, ein Indiz dafür sein, dass die Kontoinhaber ihre steuerrechtlichen Verpflichtungen nicht eingehalten haben (Urteil des BGer 2C_695/2017 vom 29. Oktober 2018 E. 5.2). Solche hinreichenden Anhaltspunkte hat das Bundesgericht namentlich in folgenden zwei Fallkonstellationen bejaht: Im einen Fall basierte das Amtshilfeverfahren auf einem Listenersuchen Frankreichs. Dabei wurden die dem Ersuchen zugrundeliegenden Daten (im Urteil bezeichnet als Listen A, B und C) anlässlich einer von der Staatsanwaltschaft Bochum durchgeführten Hausdurchsuchung bei einer deutschen Gruppengesellschaft der UBS im Mai 2012 und im Juli 2013 gefunden. Das Bundesgericht erwog,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erachtete eine Verbindung zwischen der Liste A und den Listen B (betreffend Jahr 2006) und C (betreffend Jahr 2008) als gegeben, wobei die Listen B und C zwar keine Namen enthielten aber einen Domizilcode, der auf eine Ansässigkeit in Frankreich hindeutete. Das Gericht hob hervor, dass gegen die Bank ein Strafverfahren in Frankreich eingeleitet worden sei und ihr der Aufbau eines Steuerfluchtsystems zur Last gelegt werde. Es kam zum Schluss, dass diese Anhaltspunkte zusammen betrachtet einen hinreichenden Verdacht auf steuerrechtswidriges Verhalten der mittels Banknummern identifizierten Personen der Listen B und C begründeten. Weiter wertete es den Umstand, dass die Listen B und C bei einer Hausdurchsuchung im Rahmen einer Steuerstrafuntersuchung in Deutschland gefunden wurden, als zusätzliches Indiz für ein steuerrechtswidriges Verhalten (vgl. BGE 146 II 150 E. 6.2.5 f.). Im anderen Fall lag dem Verfahren ein Amtshilfeersuchen aus Deutschland zugrunde, welches die betroffene Person mittels einer Kontonummer identifizierte. Das Bundesgericht wertete die Tatsache, dass die ersuchende Behörde die Kontonummer kenne und wisse, dass darauf ein hoher Geldbetrag liegt, für sich allein genommen noch nicht als Indiz dafür, dass dieser Geldbetrag nicht oder nicht ordnungsgemäss versteuert wurde. Als ausschlaggebend erachtete es vielmehr,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gesichert werden konnten. Der Umstand, dass diese Daten nicht regulär im Systembackup der Bank vorhanden waren, wertete es als Indiz dafür, dass die betreffenden Konten möglicherweise verdeckt geführt werden sollten und allenfalls nicht gesetzeskonform deklariert worden waren. Dieses Indiz in Kombination mit den übrigen Umständen (Ermittlungsverfahren bei der Bank mit anschliessender Beschlagnahmung der Daten sowie hohe Summe auf dem betreffenden Konto) stellt gemäss Bundesgericht einen konkreten Hinweis auf Unregelmässigkeiten dar. Das Bundesgericht verneinte im Ergebnis eine unzulässige Beweisausforschung (Urteil des BGer 2C_695/2017 vom 29. Oktober 2018 E. 5, insbes. E. 5.3.1).</w:t>
      </w:r>
    </w:p>
    <w:p>
      <w:r>
        <w:rPr>
          <w:b/>
        </w:rPr>
        <w:t>E. 4.4.3.2</w:t>
      </w:r>
    </w:p>
    <w:p>
      <w:r>
        <w:t>Wie im oben erwähnten, bereits gerichtlich beurteilten Listenersuchen Frankreichs stützt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wurden. Mit anderen Worten basieren das vorliegende Listenersuchen Österreichs und das erwähnte Listenersuchen Frankreichs auf Daten derselben Quelle. Es ist zwischenzeitlich gerichtsnotorisch, dass sich diese «Listen» - wie betreffend das oben zitierte Urteil 2C_695/2017 vom 29. Oktober 2018 ausgeführt - mutmasslich auf einer verborgenen Datei auf dem PC einer Bankmitarbeiterin befanden (siehe Urteil des BVGer A-1534/2018 vom 3. August 2020 E. 3.6; Beschlüsse des Bundesstrafgerichts BB.2019.61 und BB.2019.63 vom 20. November 2019). Weiter fand die spontane Übermittlung der erwähnten «Listen» von Deutschland nach Österreich - wie sich aus dem Ersuchen ergibt - gestützt auf die europäische Richtlinie 2011/16 vom 15. Februar 2011 über die Zusammenarbeit der Verwaltungsbehörden im Bereich der Besteuerung und zur Aufhebung der Richtlinie 77/799/EWG (ABl. L 64/1 vom 11. März 2011) statt. Ein solch spontaner Informationsaustausch ist u. a. vorgesehen, wenn die zuständige Behörde eines Mitgliedstaats Gründe für die Vermutung einer Steuerverkürzung im anderen Mitgliedstaat hat (s. Abschn. II Art. 9 Abs. 1 Bst. a der Richtlinie 2011/16). Der Bezug zu Österreich wird vorliegend über die in der Liste erwähnten Domizilcodes hergestellt. Gemäss Amtshilfeersuchen führte sodann ein Abgleich der auf der Liste enthaltenen Kundenstammnummern auf Basis von zwei Abkommen mit der Schweiz (vorne Sachverhalt Bst. A.b in fine) zur Zuordnung und Aussonderung von über 370 Konten. Dies zeigt, dass sich zumindest in diesen Fällen der Domizilcode als korrekt erwiesen hat. Sodann wurde der Domizilcode auch bereits beim französischen Listenersuchen, das auf Daten derselben Quelle beruhte, als genügend erachtet (vgl. BGE 146 II 150 E. 6.2.6 f.; Urteil des BVGer A-1562/2018 vom 3. August 2020 E. 4.2). Gemäss Angaben der ersuchenden Behörde belaufen sich die in der «Liste» ausgewiesenen Vermögenswerte auf [mehrere] Milliarden Schweizer Franken und stellen damit eine erhebliche Summe dar. Wie bereits erwähnt, genügt es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und es kommt hinzu, dass die vorliegenden Daten aus derselben Quelle stammen, die auch dem vom Bundesgericht als zulässig qualifizierten Listenersuchen Frankreichs zugrunde lag. Vor diesem Hintergrund ist vorliegend das Vorliegen hinreichend konkreter Anhaltspunkte für ein steuerrechtswidriges Verhalten der betroffenen Personen - und damit der Beschwerdeführenden - im hier streitbetroffenen Amtshilfeersuchen des CLO zu bejahen. Eine verbotene «fishing expedition», welche ein Nichteintreten auf das Amtshilfeersuchen nach sich ziehen müsste, liegt daher nicht vor.</w:t>
      </w:r>
    </w:p>
    <w:p>
      <w:r>
        <w:rPr>
          <w:b/>
        </w:rPr>
        <w:t>E. 4.5</w:t>
      </w:r>
    </w:p>
    <w:p>
      <w:r>
        <w:t>Weiter vertreten die Beschwerdeführenden die Ansicht, das Amtshilfeersuchen verletze den Grundsatz von Treu und Glauben, weil es auf unrechtmässig bzw. deliktisch erlangten Informationen beruhe. Am Ursprung des «Listenfunds» stehe eine Verletzung des strafrechtlich geschützten Schweizerischen Bankkundengeheimnisses.</w:t>
      </w:r>
    </w:p>
    <w:p>
      <w:r>
        <w:rPr>
          <w:b/>
        </w:rPr>
        <w:t>E. 4.5.1</w:t>
      </w:r>
    </w:p>
    <w:p>
      <w:r>
        <w:t>Wie vorne ausgeführt (E. 3.4), liegt ein Verstoss gegen den Grundsatz von Treu und Glauben insbesondere dann vor, wenn der ersuchende Staat eine Zusicherung abgegeben hat, wonach er kein Ersuchen gestützt auf in strafbarer Weise erlangte Daten stellen werde. Kein treuwidriges Verhalten stellt dagegen das blosse Verwenden illegal erworbener Daten durch den ersuchenden Staat dar, welche dieser im Rahmen der (spontanen) Amtshilfe durch einen anderen Staat erhalten hat. Vorliegend hat Österreich keine Zusicherung abgegeben, allfällig illegal erworbene Daten nicht im Rahmen von an die Schweiz gerichteten Amtshilfeersuchen zu verwenden. Vielmehr hat es die Daten auf legalem Weg der spontanen Amtshilfe von Deutschland erhalten. Es ist zudem nicht ersichtlich, inwiefern im Rahmen der (offiziellen) Beschlagnahmung der «Listen» bei der deutschen Niederlassung der UBS und der anschliessenden Weitergabe dieser Dokumente von Deutschland an Österreich schweizerisches Recht verletzt worden wäre. Ein treuwidriges Verhalten Österreichs ist bereits aus diesem Grund zu verneinen.</w:t>
      </w:r>
    </w:p>
    <w:p>
      <w:r>
        <w:rPr>
          <w:b/>
        </w:rPr>
        <w:t>E. 4.5.2</w:t>
      </w:r>
    </w:p>
    <w:p>
      <w:r>
        <w:t>An dieser Würdigung vermag der Umstand, dass am Ursprung der von den deutschen Behörden eingeleiteten Strafuntersuchung gegen die deutsche Niederlassung der UBS der Kauf einer CD mit Daten steht, die von einem Bankmitarbeiter möglicherweise in strafbarer Weise beschafft und weitergegeben wurde, nichts zu ändern. Zwar wurde im Zusammenhang mit der Weitergabe der Daten-CD an Deutschland eine strafbare Handlung (allerdings keine Bankkundengeheimnisverletzung) in der Schweiz zwischenzeitlich gerichtlich bestätigt (s. Urteil des Bundesstrafgerichts SK.2016.34 vom 21. Januar 2019). Aber wie das Bundesverwaltungsgericht dazu bereits im Urteil A-1534/2018 vom 3. August 2020 in Erwägung 3.6 für das gleichgelagerte Listenersuchen Frankreichs erwogen hat, lässt sich daraus kein treuwidriges Verhalten Österreichs ableiten. Erstens wurde die Kausalkette durch externe Faktoren wie namentlich die Ermittlungen der deutschen Strafbehörden wenn nicht gar unterbrochen, so doch zumindest stark beeinflusst. Zweitens handelt es sich bei den vorliegend verwendeten Daten nicht um jene, die vom Bankmitarbeiter illegal beschafft und nach Deutschland verkauft wurden, sondern um andere Daten, die anlässlich der später erfolgten Hausdurchsuchung gefunden wurden. Im Zusammenhang mit den anlässlich der Hausdurchsuchung gefundenen Listen haben sowohl die Bundesanwaltschaft als auch die Beschwerdeinstanz eine vorsätzliche Verletzung des Bankkundengeheimnisses verneint (s. Beschlüsse des Bundesstrafgerichts BB.2019.61 und BB.2019.63 vom 20. November 2019, mit welchen die Einstellungsverfügung der Bundesanwaltschaft bestätigt wurde). Auch diesbezüglich fehlt es durch die Einwirkung externer Faktoren auf die Kausalkette ganz grundsätzlich an einer hinreichenden Nähe Österreichs zum Tatgeschehen, welche die Annahme eines Verstosses gegen den völkerrechtlichen Grundsatz von Treu und Glauben rechtfertigen könnte.</w:t>
      </w:r>
    </w:p>
    <w:p>
      <w:r>
        <w:rPr>
          <w:b/>
        </w:rPr>
        <w:t>E. 4.5.3</w:t>
      </w:r>
    </w:p>
    <w:p>
      <w:r>
        <w:t>Mit Blick auf das soeben Ausgeführte besteht vorliegend keine Notwendigkeit, die von den Beschwerdeführenden mit subeventualiter gestelltem Ergänzungsantrag vom 20. Oktober 2021 zur Einsicht verlangten Unterlagen, soweit sie sich noch nicht in den vorinstanzlichen Akten befanden (siehe: Sachverhalt Bst. N. und O.; zu den streitgegenständlichen Unterlagen vorne E. 2.2.2), auf Stufe des Gerichts beizuziehen. Das Akteneinsichtsgesuch ist insoweit abzuweisen.</w:t>
      </w:r>
    </w:p>
    <w:p>
      <w:r>
        <w:rPr>
          <w:b/>
        </w:rPr>
        <w:t>E. 4.6</w:t>
      </w:r>
    </w:p>
    <w:p>
      <w:r>
        <w:t>Nach dem Gesagten erweist sich das vorliegende Listenersuchen Österreichs als zulässig und die Vorinstanz ist zu Recht darauf eingetreten.</w:t>
      </w:r>
    </w:p>
    <w:p>
      <w:r>
        <w:rPr>
          <w:b/>
        </w:rPr>
        <w:t>E. 5</w:t>
      </w:r>
    </w:p>
    <w:p>
      <w:r>
        <w:t>Weiter ist zu prüfen, ob die weiteren Voraussetzungen für die Leistung von Amtshilfe erfüllt sind.</w:t>
      </w:r>
    </w:p>
    <w:p>
      <w:r>
        <w:rPr>
          <w:b/>
        </w:rPr>
        <w:t>E. 5.1</w:t>
      </w:r>
    </w:p>
    <w:p>
      <w:r>
        <w:t>Die Beschwerdeführenden machen geltend, die verlangten und zur Übermittlung vorgesehenen Informationen seien nicht voraussichtlich erheblich, weil sie seit dem Jahr 2000 [ausserhalb Österreichs] ansässig und dort unbeschränkt steuerpflichtig seien.</w:t>
      </w:r>
    </w:p>
    <w:p>
      <w:r>
        <w:rPr>
          <w:b/>
        </w:rPr>
        <w:t>E. 5.2</w:t>
      </w:r>
    </w:p>
    <w:p>
      <w:r>
        <w:t>Wie erwähnt, wird vorliegend der Bezug zu Österreich durch die in den UBS-Listen aufgeführten Domizil-Codes hergestellt. Unter Berücksichtigung der höchstrichterlichen Rechtsprechung hat das Bundesverwaltungsgericht den Domizil-Code beim gleichgelagerten Listenersuchen Frankreichs als hinreichenden Anknüpfungspunkt für eine mögliche Steuerpflicht in Frankreich (für die Jahre 2010 bis 2015) qualifiziert (dazu bereits vorne: E. 4.4.3.2 mit Hinweisen; ferner: Urteil des BVGer A-1562/2018 vom 3. August 2020 E. 4.2). Dasselbe gilt auch für das vorliegende Listenersuchen Österreichs. Die Beschwerdeführenden und ihre individuellen Banknummern befanden sich unbestrittenermassen auf den Listen, die anlässlich einer Hausdurchsuchung der Zweigniederlassung der UBS in Deutschland gefunden wurden, und zwar in Verbindung mit dem Domizil-Code für Österreich. Wo letztendlich der Steuerwohnsitz liegt, ist nicht im Rahmen des vorliegenden Amtshilfeverfahrens zu klären, und es ist in diesem Verfahren auch nicht Aufgabe der Schweizer Behörden zu prüfen, ob nach österreichischem Recht ein Steuerwohnsitz in Österreich besteht (vgl. Urteil des BGer 2C_805/2018 vom 23. August 2019 E. 4.5 mit Hinweis auf BGE 145 II 122 E. 2.2.2 und E. 3.2, sowie BGE 142 II 161 E. 2.2.2, auch zum Folgenden). Die genannten Umstände mögen im Rahmen des Ansässigkeitsstreits wesentlich sein, der jedoch in einem anderen Verfahren durchzuführen ist. Damit ist von der voraussichtlichen Erheblichkeit der vorliegend zur Übermittlung vorgesehenen Informationen betreffend die Beschwerdeführenden auszugehen. Sie sind für den Nachweis ihres steuerrechtlichen Wohnsitzes in einem Drittstaat vorab auf das innerstaatliche, österreichische Steuerverfahren zu verweisen.</w:t>
      </w:r>
    </w:p>
    <w:p>
      <w:r>
        <w:rPr>
          <w:b/>
        </w:rPr>
        <w:t>E. 6</w:t>
      </w:r>
    </w:p>
    <w:p>
      <w:r>
        <w:t>Nach dem Gesagten sind die Voraussetzungen für die in der Schlussverfügung vorgesehene Amtshilfeleistung erfüllt. Die Beschwerde erweist sich als unbegründet und ist abzuweisen.</w:t>
      </w:r>
    </w:p>
    <w:p>
      <w:r>
        <w:rPr>
          <w:b/>
        </w:rPr>
        <w:t>E. 7</w:t>
      </w:r>
    </w:p>
    <w:p>
      <w:r>
        <w:t>Ausgangsgemäss haben die Beschwerdeführenden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Den unterliegenden Beschwerdeführenden ist keine Parteientschädigung zuzusprechen (vgl. Art. 64 Abs. 1 VwVG e contrario und Art. 7 Abs. 1 VGKE e contrario).</w:t>
      </w:r>
    </w:p>
    <w:p>
      <w:r>
        <w:rPr>
          <w:b/>
        </w:rPr>
        <w:t>E. 8</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Bundesgerichtsgesetzes vom 17. Juni 2005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