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A-6508/2020 vom 30. Januar 2023</w:t>
      </w:r>
    </w:p>
    <w:p>
      <w:r>
        <w:t>Bundesverwaltungsgericht, 2023-01-30, DE</w:t>
      </w:r>
    </w:p>
    <w:p>
      <w:r>
        <w:rPr>
          <w:b/>
        </w:rPr>
        <w:t xml:space="preserve">Quelle: </w:t>
      </w:r>
      <w:r>
        <w:t>https://mcp.opencaselaw.ch/entscheid/bvger_A-6508_2020</w:t>
      </w:r>
    </w:p>
    <w:p>
      <w:r>
        <w:t>FR: TAF A-6508/2020 du 30 janvier 2023</w:t>
      </w:r>
    </w:p>
    <w:p>
      <w:r>
        <w:t>IT: TAF A-6508/2020 del 30 gennaio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Die Beschwerdeführenden sind als Verfügungsadressaten und Personen,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1.4.1</w:t>
      </w:r>
    </w:p>
    <w:p>
      <w:r>
        <w:t>Die Beschwerdeführenden beantragen aus verfahrensökonomischen Gründen, die Beschwerdeverfahren vor Bundesverwaltungsgericht betreffend die Schlussverfügungen in verschiedenen einzeln genannten Amtshilfeverfahren (Sachverhalt, Bst. D) seien zu vereinigen. Sie beträfen denselben Sachverhalt (Amtshilfeersuchen i.S. Familie F._______), und es würden sich dieselben Rechtsfragen stellen. Die Vorinstanz äussert sich nicht zur beantragten Verfahrensvereinigung.</w:t>
      </w:r>
    </w:p>
    <w:p>
      <w:r>
        <w:rPr>
          <w:b/>
        </w:rPr>
        <w:t>E. 1.4.2</w:t>
      </w:r>
    </w:p>
    <w:p>
      <w:r>
        <w:t>Die Frage der Vereinigung von Verfahren steht im Ermessen des Gerichts und hängt mit dem Grundsatz der Prozessökonomie zusammen, wonach ein Verfahren im Interesse aller Beteiligten möglichst einfach, rasch und zweckmässig zum Abschluss gebracht werden soll (Urteil des BVGer A-6074/2019 vom 8. September 2021 E. 1.3 m.w.H.). In der angefochtenen Schlussverfügung vom 23. November 2020 werden im Rubrum nur die Beschwerdeführenden als formell betroffene Personen genannt. Die Vorinstanz erliess in gleicher Sache auch weitere (zwischenzeitlich beim Bundesverwaltungsgericht angefochtene) Schlussverfügungen gegenüber weiteren Familienmitgliedern der Beschwerdeführenden (Konnexverfahren; Sachverhalt, Bst. F). Zwar liegt den erwähnten Schlussverfügungen dasselbe Amtshilfeersuchen des BD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scheinen vorliegend allerdings wenig ausgeprägt zu sein, zumal die Familienmitglieder von denselben Rechtsvertretern vertreten werden, können jedoch dennoch nicht ganz ausgeschlossen werden. Die beim Bundesverwaltungsgericht hängigen Verfahren betreffen verschiedene Mitglieder der Familie F._______. Das erste entsprechende Urteil des Bundesverwaltungsgerichts erging am 10. Oktober 2022 und ist rechtskräftig (Sachverhalt, Bst. F). Es liegt zwar auf der Hand, dass sich in allen Verfahren überwiegend gleiche Rechtsfragen stellen. Jedoch wird das Bundesverwaltungsgericht in den einzelnen übrigen Verfahren individuelle Einzelaspekte zu prüfen haben. Somit erweist es sich für das Bundesverwaltungsgericht als effizienter, die Verfahren getrennt zu führen und auf eine Vereinigung zu verzichten. Der Antrag der Beschwerdeführenden auf Verfahrensvereinigung ist somit abzuweisen, was immerhin bei der Bemessung der Verfahrenskosten zu berücksichtigen sein wird (E. 5.1; so bereits das Urteil des BVGer A-6507/2020 vom 10. Oktober 2022 E. 1.4.2).</w:t>
      </w:r>
    </w:p>
    <w:p>
      <w:r>
        <w:rPr>
          <w:b/>
        </w:rPr>
        <w:t>E. 1.5</w:t>
      </w:r>
    </w:p>
    <w:p>
      <w:r>
        <w:t>Betreffend Antrag der Beschwerdeführenden auf Edition der vorinstanzlichen Akten ist Folgendes festzuhalten: Die Vorinstanz hat dem Bundesverwaltungsgericht mit der Vernehmlassung vom 30. Juni 2022 die gesamten den Beschwerdeführenden aufgrund ihrer Akteneinsicht bei der Vorinstanz bekannten vorinstanzlichen Akten (Sachverhalt, Bst. B.c und B.m) in elektronischer Form übermittelt, wodurch sie Eingang in die Gerichtsakten gefunden haben. Der Antrag der Beschwerdeführenden erweist sich daher als gegenstandslos (so bereits das Urteil des BVGer A-6507/2020 vom 10. Oktober 2022 E. 1.4.2).</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2C_872/2020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3.1</w:t>
      </w:r>
    </w:p>
    <w:p>
      <w:r>
        <w:t>Die Beschwerdeführenden rügen die Verletzung des rechtlichen Gehörs, indem die Schlussverfügung der ESTV vom 23. November 2020 «in Vertretung» einer nicht identifizierbaren Person unterschrieben worden sei. In seinem Urteil A-6507/2020 vom 11. Oktober 2022 hat das Bundesverwaltungsgericht diese beschwerdeführerische Rüge der Verletzung des rechtlichen Gehörs verworfen. Es bestünden keine Zweifel, dass die Schlussverfügung von der sachlich und funktionell zuständigen Behörde erlassen worden sei (dortige E. 3.1). Im Übrigen erkannte auch das Bundesgericht in seinem Nichteintretensentscheid 2C_872/2022 vom 8. November 2022 keine Verletzung des rechtlichen Gehörs (dortige E. 4.2.1). Somit dringen die Beschwerdeführenden mit derselben Rüge auch im vorliegenden Verfahren nicht durch.</w:t>
      </w:r>
    </w:p>
    <w:p>
      <w:r>
        <w:rPr>
          <w:b/>
        </w:rPr>
        <w:t>E. 3.2</w:t>
      </w:r>
    </w:p>
    <w:p>
      <w:r>
        <w:t>Im Weiteren halten die Beschwerdeführenden die Eintretensvoraussetzungen für nicht gegeben, da sie eine «fishing expedition» sowie ein treuwidriges Verhalten der Niederlande erblicken. Das Bundesverwaltungsgericht hat erwogen, dass keine verbotene «fishing expedition», welche ein Nichteintreten auf das Amtshilfeersuchen nach sich ziehen müsste, vorliege (Referenzurteil, E. 4.6; Urteil des BVGer A-6507/2020 vom 11. Oktober 2022 E. 3.7.2). In seinem Nichteintretensentscheid 2C_872/2022 vom 8. November 2022 hat das Bundesgericht abermals ausgeführt, dass der Domizilcode in Listen, die von der Informationsinhaberin (Bank) geführt worden seien, einen hinreichenden Anknüpfungspunkt für eine potenzielle Steuerpflicht darstelle (dortige E. 4.2.2). Das Bundesverwaltungsgericht hat auch kein treuwidriges Verhalten der Niederlande erkannt (Referenzurteil, E. 4.5; Urteil des BVGer A-6507/2020 vom 11. Oktober 2022 E. 3.8.3). Demnach ist vorliegend weder eine «fishing expedition» noch ein treuwidriges Verhalten der Niederlande ersichtlich.</w:t>
      </w:r>
    </w:p>
    <w:p>
      <w:r>
        <w:rPr>
          <w:b/>
        </w:rPr>
        <w:t>E. 3.3</w:t>
      </w:r>
    </w:p>
    <w:p>
      <w:r>
        <w:t>Die Beschwerdeführenden bestreiten zudem die voraussichtliche Erheblichkeit der ersuchten Informationen mangels niederländischen Bezugs. Das Bundesverwaltungsgericht hat die voraussichtliche Erheblichkeit der vom BD ersuchten Informationen bejaht (Referenzurteil, E. 4.12 ff.; Urteil des BVGer A-6507/2020 vom 11. Oktober 2022 E. 9.3.2). Wie schon erwähnt, stellt der Domizilcode in Listen, die von der Informationsinhaberin (Bank) geführt worden sind, einen hinreichenden Anknüpfungspunkt für eine potenzielle Steuerpflicht dar (E. 3.2).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Das trifft insbesondere auch auf den Einwand zu, die persönliche Zugehörigkeit mit der damit einhergehenden unbeschränkten Steuerpflicht bestehe nicht im Ausland, sondern in der Schweiz (Urteil des BGer 2C_872/2022 vom 8. November 2022 E. 4.2.3 m.w.H.). Somit sind auch im vorliegenden Verfahren die zu übermittelnden Informationen voraussichtlich Erheblich zur Anwendung oder Durchsetzung des niederländischen Rechts im ersuchten Zeitraum (E. 2.3.2).</w:t>
      </w:r>
    </w:p>
    <w:p>
      <w:r>
        <w:rPr>
          <w:b/>
        </w:rPr>
        <w:t>E. 4</w:t>
      </w:r>
    </w:p>
    <w:p>
      <w:r>
        <w:t>Nach dem Gesagten sind die Voraussetzungen für die in der angefochtenen Schlussverfügung vom 23. November 2020 vorgesehene Amtshilfeleistung erfüllt. Die Beschwerde erweist sich als unbegründet und ist abzuweisen.</w:t>
      </w:r>
    </w:p>
    <w:p>
      <w:r>
        <w:rPr>
          <w:b/>
        </w:rPr>
        <w:t>E. 5.1</w:t>
      </w:r>
    </w:p>
    <w:p>
      <w:r>
        <w:t>Ausgangsgemäss haben die unterliegenden Beschwerdeführenden die Verfahrenskosten zu tragen (Art. 63 Abs. 1 VwVG). Diese sind angesichts verschiedener beim Bundesverwaltungsgericht hängiger Konnexverfahren (Urteil des BVGer 6507/200 vom 11. Oktober 2022 E. 1.4.2 und E. 5.1; Sachverhalt, Bst. F) mit teils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den Beschwerdeführenden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