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A-649/2025 vom 29. August 2023</w:t>
      </w:r>
    </w:p>
    <w:p>
      <w:r>
        <w:t>Bundesverwaltungsgericht, 2023-08-29, DE</w:t>
      </w:r>
    </w:p>
    <w:p>
      <w:r>
        <w:rPr>
          <w:b/>
        </w:rPr>
        <w:t xml:space="preserve">Quelle: </w:t>
      </w:r>
      <w:r>
        <w:t>https://mcp.opencaselaw.ch/entscheid/bvger_A-649_2025_d20230829</w:t>
      </w:r>
    </w:p>
    <w:p>
      <w:r>
        <w:t>FR: TAF A-649/2025 du 29 août 2023</w:t>
      </w:r>
    </w:p>
    <w:p>
      <w:r>
        <w:t>IT: TAF A-649/2025 del 29 agosto 2023</w:t>
      </w:r>
    </w:p>
    <w:p>
      <w:pPr>
        <w:pStyle w:val="Heading2"/>
      </w:pPr>
      <w:r>
        <w:t>Regeste</w:t>
      </w:r>
    </w:p>
    <w:p>
      <w:r>
        <w:t>Amtshilfe | Revisionsgesuch; Urteil des Bundesverwaltungsgerichts vom 29. August 2023 (A-4999/2021). Entscheid angefochten beim BGer.</w:t>
      </w:r>
    </w:p>
    <w:p>
      <w:pPr>
        <w:pStyle w:val="Heading2"/>
      </w:pPr>
      <w:r>
        <w:t>Erwägungen</w:t>
      </w:r>
    </w:p>
    <w:p>
      <w:r>
        <w:rPr>
          <w:b/>
        </w:rPr>
        <w:t>E. 1.1</w:t>
      </w:r>
    </w:p>
    <w:p>
      <w:r>
        <w:t>Gemäss Art. 31 des Bundesgesetzes vom 17. Juni 2005 über das Bun- desverwaltungsgericht (Verwaltungsgerichtsgesetz, VGG, SR 173.32) be- urteilt dieses die Beschwerden gegen die Verfügungen nach Art. 5 des Bundesgesetzes vom 20. Dezember 1968 über das Verwaltungsverfahren (Verwaltungsverfahrensgesetz, VwVG, SR 172.021). Zu den beim Bundes- verwaltungsgericht anfechtbaren Verfügungen gehören Schlussverfügun- gen der ESTV im Bereich der internationalen Amtshilfe und folglich der Amtshilfe im Rahmen des DBA CH-IN (vgl. Art. 32 VGG e contrario; Art. 19 Abs. 1 des Bundesgesetzes vom 28. September 2012 über die inter- nationale Amtshilfe in Steuersachen [Steueramtshilfegesetz, StAhiG, SR 651.1]). Das Bundesverwaltungsgericht ist ausserdem zuständig für die Revision von Urteilen, die es in seiner Funktion als Beschwerdeinstanz gefällt hat (vgl. BVGE 2007/21 E. 2.1; Urteil des BVGer A-750/2019 vom 31. Mai 2019 E. 1).</w:t>
      </w:r>
    </w:p>
    <w:p>
      <w:r>
        <w:rPr>
          <w:b/>
        </w:rPr>
        <w:t>E. 1.2.1</w:t>
      </w:r>
    </w:p>
    <w:p>
      <w:r>
        <w:t>Wurde ein Urteil des Bundesverwaltungsgerichts beim Bundesge- richt angefochten, so kann die Revision des bundesverwaltungsgericht-li- chen Urteils nur dann verlangt werden, wenn das Bundesgericht auf die Beschwerde nicht eingetreten ist oder wenn die Gesichtspunkte, für welche</w:t>
      </w:r>
    </w:p>
    <w:p>
      <w:r>
        <w:t>A-649/2025 Seite 8 die geltend gemachten Revisionsgründe von Bedeutung sein können, vor Bundesgericht gar nicht mehr strittig waren (vgl. BGE 138 II 386 E. 6.2 m.w.H.).</w:t>
      </w:r>
    </w:p>
    <w:p>
      <w:r>
        <w:rPr>
          <w:b/>
        </w:rPr>
        <w:t>E. 1.2.2</w:t>
      </w:r>
    </w:p>
    <w:p>
      <w:r>
        <w:t>Die Gesuchstellerin ersucht vorliegend um Revision des bundesver- waltungsgerichtlichen Urteils A-4999/2023 vom 29. August 2023. Dagegen hatte sie Beschwerde in öffentlich-rechtlichen Angelegenheiten beim Bun- desgericht erhoben, das mit Urteil 2C_540/2023 vom 9. Oktober 2023 auf die Beschwerde nicht eingetreten ist (vgl. Sachverhalt Bst. C). Folglich kann die Gesuchstellerin um Revision des bundesverwaltungsgerichtlichen Urteils A-4999/2021 vom 29. August 2023 ersuchen und ist das Bundes- verwaltungsgericht für die Prüfung der Zulässigkeit des Revisionsgesuchs zuständig.</w:t>
      </w:r>
    </w:p>
    <w:p>
      <w:r>
        <w:rPr>
          <w:b/>
        </w:rPr>
        <w:t>E. 1.3.1</w:t>
      </w:r>
    </w:p>
    <w:p>
      <w:r>
        <w:t>Der Streitgegenstand ist durch das zu revidierende Urteil vorgegeben und bestimmt sich nach dem Dispositiv des aufzuhebenden Urteils und den in jenem Verfahren gestellten Anträgen (vgl. BGE 147 I 494 E. 1.3).</w:t>
      </w:r>
    </w:p>
    <w:p>
      <w:r>
        <w:rPr>
          <w:b/>
        </w:rPr>
        <w:t>E. 1.3.2</w:t>
      </w:r>
    </w:p>
    <w:p>
      <w:r>
        <w:t>Grundsätzlich nicht einzugehen ist auf die Rügen und Rechtsbegeh- ren der Gesuchstellerin, die Handlungen der Vorinstanz oder des MoF nach rechtskräftigem Abschluss des Amtshilfeverfahrens, namentlich das Übermittlungsschreiben vom (…) und die im Anschluss an die Informa- tionsübermittlung erfolgte Korrespondenz zwischen der Vorinstanz und dem MoF, betreffen. Verfahrensgegenstand des vorliegenden Revisions- verfahrens ist ausschliesslich das bundesverwaltungsgerichtliche Urteil 4999/2021 vom 29. August 2023.</w:t>
      </w:r>
    </w:p>
    <w:p>
      <w:r>
        <w:rPr>
          <w:b/>
        </w:rPr>
        <w:t>E. 1.4</w:t>
      </w:r>
    </w:p>
    <w:p>
      <w:r>
        <w:t>Das Verfahren vor dem Bundesverwaltungsgericht richtet sich nach dem VwVG, soweit das VGG nichts anderes bestimmt (Art. 37 VGG).</w:t>
      </w:r>
    </w:p>
    <w:p>
      <w:r>
        <w:rPr>
          <w:b/>
        </w:rPr>
        <w:t>E. 1.4.1</w:t>
      </w:r>
    </w:p>
    <w:p>
      <w:r>
        <w:t>Gemäss Art. 45 VGG gelten für die Revision von Urteilen des Bun- desverwaltungsgerichts die Art. 121-128 des Bundesgesetzes vom 17. Juni 2005 über das Bundesgericht (Bundesgerichtsgesetz, BGG, SR 173.110) sinngemäss. Die zulässigen Revisionsgründe sind in den Ar- tikeln 121-123 BGG abschliessend geregelt (MOSER/BEUSCH/KNEUBÜH- LER/KAYSER, Prozessieren vor dem Bundesverwaltungsgericht, 3. Aufl. 2022, Rz. 5.41 m.H.). Gründe, welche die Partei, die um Revision nach- sucht, bereits mit einer Beschwerde gegen den Entscheid des Bundes-ver- waltungsgerichts hätte geltend machen können, gelten nicht als</w:t>
      </w:r>
    </w:p>
    <w:p>
      <w:r>
        <w:t>A-649/2025 Seite 9 Revisionsgründe (Art. 46 VGG). Nach Art. 47 VGG findet auf Inhalt, Form und Ergänzung des Revisionsgesuches Art. 67 Abs. 3 VwVG Anwendung.</w:t>
      </w:r>
    </w:p>
    <w:p>
      <w:r>
        <w:rPr>
          <w:b/>
        </w:rPr>
        <w:t>E. 1.4.2</w:t>
      </w:r>
    </w:p>
    <w:p>
      <w:r>
        <w:t>Wird offensichtlich kein zulässiger Revisionsgrund geltend gemacht oder fehlt es an den übrigen Zulässigkeitsvoraussetzungen, erledigt die Revisionsinstanz das Verfahren durch Nichteintreten (vgl. BVGE 2019 I/8 E. 4.3.2; Urteil des BVGer A-750/2019 vom 31. Mai 2019 E. 3.2.1, 3.4 und 5, jeweils m.w.H.).</w:t>
      </w:r>
    </w:p>
    <w:p>
      <w:r>
        <w:rPr>
          <w:b/>
        </w:rPr>
        <w:t>E. 1.5.1</w:t>
      </w:r>
    </w:p>
    <w:p>
      <w:r>
        <w:t>Ein Revisionsgesuch kann stellen, wer vor dem Bundesverwaltungs- gericht am Verfahren teilgenommen oder zu Unrecht keine Möglichkeit zur Teilnahme erhalten hat. Zusätzlich muss die gesuchstellende Partei ein schutzwürdiges, d.h. aktuelles und praktisches Interesse an der Wieder- aufnahme der Streitsache geltend machen (Art. 89 BGG analog; vgl. BGE 138 V 161 E. 2.5.2). Ein aktuelles, praktisches Interesse fehlt insbesondere dann, wenn der Nachteil auch bei Gutheissung der Beschwerde bzw. des Revisionsgesuchs nicht mehr behoben werden kann, beispielsweise weil der angefochtene Entscheid bereits vollumfänglich Wirkung entfaltet hat (vgl. MOSER/BEUSCH/KNEUBÜHLER/KAYSER, a.a.O., Rz. 2.70, 5.70).</w:t>
      </w:r>
    </w:p>
    <w:p>
      <w:r>
        <w:rPr>
          <w:b/>
        </w:rPr>
        <w:t>E. 1.5.2</w:t>
      </w:r>
    </w:p>
    <w:p>
      <w:r>
        <w:t>Im vorliegenden Fall wurden die ersuchten Informationen von der Vorinstanz bereits am (…), mithin vor Einreichung des Revisionsgesuchs, an das MoF übermittelt. Dies hat zur Folge, dass eine Gutheissung des Revisionsgesuchs mit anschliessender Aufhebung der Schlussverfügung vom 13. Oktober 2021 die Übermittlung der Informationen und deren Kenntnisnahme durch das MoF nicht mehr verhindern kann. Die diesbe- zügliche Situation der Gesuchstellerin kann durch den Ausgang des Revi- sionsverfahrens somit nicht mehr beeinflusst werden. Entsprechend ver- fügt die Gesuchstellerin über kein praktisches und aktuelles Interesse (vgl. E. 1.4.1). Die Argumentation der Gesuchstellerin, sie habe trotz der bereits erfolgten Informationsübermittlung ein schutzwürdiges Interesse an einem Feststel- lungsentscheid, überzeugt nicht. Zur Begründung führt die Gesuchstellerin zwar zusammengefasst aus, sie könne mit der beantragten Feststellung der Rechtswidrigkeit der erfolgten Informationsübermittlung im indischen Justizverfahren belegen, dass die von der Schweiz übermittelten Informa- tionen durch das MoF rechtswidrig angefragt worden waren. Damit würde sie ein gewichtiges Argument erhalten, um die ihr unter Verletzung des Rückwirkungsverbots drohende strafrechtliche Verurteilung in Indien doch</w:t>
      </w:r>
    </w:p>
    <w:p>
      <w:r>
        <w:t>A-649/2025 Seite 10 noch abzuwenden. Mit anderen Worten macht die Gesuchstellerin geltend, die Aufhebung der Schlussverfügung vom 13. Oktober 2021 sowie die Feststellung der Rechtswidrigkeit der erfolgten Informationsübermittlung im Rahmen der Revision des Urteils A-4999/2021 würden zur Unverwert- barkeit der übermittelten Informationen im indischen Verfahren oder gar zu dessen Einstellung führen. Die Verwertbarkeit der amtshilfeweise erhalte- nen Informationen im indischen Verfahren ist jedoch eine Frage des inner- staatlichen Rechts und als solche von den indischen Behörden – und nicht von der Schweiz im Rahmen des Amtshilfeverfahrens – zu beantworten (vgl. BGE 144 II 206 E. 4.6; Urteil des BGer 2C_918/2020 vom 28. Dezem- ber 2021 E. 4.3). Nach Eintritt der Rechtskraft der Schlussverfügung oder des Beschwerdeentscheids hat die ESTV die zum Austausch bestimmten Informationen an die ersuchende Behörde zu übermitteln (vgl. Art. 20 Abs. 1 StAhiG; vgl. Urteil des BGer 2C_992/2022 vom 5. Juni 2024 E. 3.2; Urteil des BVGer A-2763/2022 vom 4. Juni 2024 E. 1.2). Die Frage der Ein- haltung des Spezialitätsprinzips nach erfolgter Informationsübermittlung fällt in die Zuständigkeit des ersuchenden Staates, denn gemäss bundes- gerichtlicher Rechtsprechung ist es letztendlich dessen Sache, zu ent- scheiden, ob das Spezialitätsprinzip gewahrt ist oder nicht (vgl. BGE 149 I 316 E. 6.5.4 f. m.H.). Im Amtshilfeverfahren, das dem Revisionsgesuch zu- grunde liegt, wurde – entgegen des von der Gesuchstellerin geäusserten Verdachts (vgl. Eingabe vom 20. Juni 2025, S. 7) – von der Vorinstanz of- fensichtlich keine Zustimmung zur abkommensfremden Verwendung (vgl. Art. 20 Abs. 3 StAhiG) erteilt (vgl. zudem Urteil des BGer 2C_750/2020 vom 25. März 2025 E. 9.3.1, wonach eine Verwendung der übermittelten Informationen für die Steuerstrafverfolgung hinsichtlich der in Art. 26 Abs. 1 DBA CH-IN erwähnten Steuern grundsätzlich keine abkommensfremde Verwendung darstellt). Strafprozessuale Garantien sind ebenfalls grund- sätzlich vor den Behörden bzw. Gerichten des ersuchenden Staates gel- tend zu machen (vgl. Urteil des BVGer A-5938/2022 vom 11. November 2024 E. 3.3.2 m.w.H.).</w:t>
      </w:r>
    </w:p>
    <w:p>
      <w:r>
        <w:rPr>
          <w:b/>
        </w:rPr>
        <w:t>E. 1.6</w:t>
      </w:r>
    </w:p>
    <w:p>
      <w:r>
        <w:t>Nach dem Gesagten fehlt es der Gesuchstellerin an der Legitimation zum Revisionsgesuch. Aufgrund der mangelnden Legitimation kommt ihr keine Parteistellung zu (vgl. Art. 6 i.V.m. Art. 48 VwVG) und hat sie keinen Anspruch auf Akteneinsicht (vgl. Art. 26 Abs. 1 VwVG e contrario). Der Voll- ständigkeit halber ist anzumerken, dass die «Korrespondenz zu den BMA- Themen», in welche die Gesuchstellerin Einsicht beantragt, nicht die Ge- suchstellerin, sondern Amtshilfeverfahren betreffend Drittpersonen betrifft. Auf Einsicht in Akten, die Dritte betreffen, besteht grundsätzlich kein An- spruch (vgl. BGE 139 II 279 E. 2.2; BVGE 2018 IV/5 E. 7.4). Anhaltspunkte</w:t>
      </w:r>
    </w:p>
    <w:p>
      <w:r>
        <w:t>A-649/2025 Seite 11 für eine «heimliche Korrespondenz» zwischen der Vorinstanz und dem MoF bestehen keine. Zudem hat das Bundesverwaltungsgericht bereits im Urteil A-4999/2021 das Akteneditionsgesuch der Gesuchstellerin betref- fend «allfällige neue Korrespondenz zwischen der ESTV und dem MoF oder anderen Behörden bzw. Dritten» in antizipierter Beweiswürdigung ab- gewiesen (vgl. E. 13 des besagten Urteils). Im Weiteren ist der Sachverhalt mit Bezug auf die Legitimationsfrage ge- nügend erstellt. Eine mündliche Verhandlung sowie die Einholung eines Gutachtens zur Frage, «ob aufgrund der Einleitung eines Strafverfahrens nach dem BMA eine rückwirkende Anwendung von Strafbestimmungen droht», ist nicht erforderlich (vgl. im Übrigen zur geltenden Rechtspre- chung, wonach die Garantie von Art. 6 Ziff. 1 der Europäischen Menschen- rechtskonvention vom 4. November 1950 [EMRK, SR 0.101] auf Steuer- amtshilfeverfahren grundsätzlich nicht anwendbar ist: BGE 139 II 404 E. 6; Urteil des BVGer A-3183/2022 vom 28. Juni 2023 E. 5.3). Somit sind die entsprechenden Verfahrensanträge abzuweisen (vgl. zur antizipierten Be- weiswürdigung: BGE 131 I 153 E. 3; Urteile des BVGer A-750/2019 vom 31. Mai 2019 E. 5, A-714/2018 vom 23. Januar 2019 E. 2.3). Auf das Revisionsgesuch ist folglich nicht einzutreten. Die Prüfung der wei- teren Eintretensvoraussetzungen – namentlich die Einhaltung der Frist so- wie die Gültigkeit der geltend gemachten Revisionsgründe – sowie der wei- teren Vorbringen der Gesuchstellerin erübrigt sich damit.</w:t>
      </w:r>
    </w:p>
    <w:p>
      <w:r>
        <w:rPr>
          <w:b/>
        </w:rPr>
        <w:t>E. 2</w:t>
      </w:r>
    </w:p>
    <w:p>
      <w:r>
        <w:t>Bei diesem Ausgang des Verfahrens hat die Gesuchstellerin die auf Fr. 1'000.-- festzusetzenden Verfahrenskosten zu tragen (Art. 37 VGG i.V.m. Art. 63 Abs. 1 VwVG; Art. 1 ff. des Reglements vom 21. Februar 2008 über die Kosten und Entschädigungen vor dem Bundesverwaltungs- gericht [VGKE, SR 173.320.2]). Dieser Betrag wird dem von der Gesuch- stellerin geleisteten Kostenvorschuss in der Höhe von Fr. 3'000.-- entnom- men. Der Restbetrag in Höhe von Fr. 2'000.-- wird der Gesuchstellerin nach Eintritt der Rechtskraft des vorliegenden Urteils zurückerstattet. Der Gesuchstellerin steht keine Parteientschädigung zu (vgl. Art. 37 VGG i.V.m. Art. 64 Abs. 1 VwVG e contrario; Art. 7 Abs. 1 und 2 VGKE e contra- rio).</w:t>
      </w:r>
    </w:p>
    <w:p>
      <w:r>
        <w:t>A-649/2025 Seite 12</w:t>
      </w:r>
    </w:p>
    <w:p>
      <w:r>
        <w:rPr>
          <w:b/>
        </w:rPr>
        <w:t>E. 3</w:t>
      </w:r>
    </w:p>
    <w:p>
      <w:r>
        <w:t>Dieser Entscheid auf dem Gebiet der internationalen Amtshilfe in Steuer- sachen kann gemäss Art. 83 Bst. h BGG innerhalb von 10 Tagen nur dann mit Beschwerde in öffentlich-rechtlichen Angelegenheiten an das Bundes- gericht weitergezogen werden, wenn sich eine Rechtsfrage von grundsätz- licher Bedeutung stellt oder wenn es sich aus andren Gründen um einen besonders bedeutenden Fall im Sinne von Art. 84 Abs. 2 BGG handelt (Art. 84a und Art. 100 Abs. 2 Bst. b BGG). Ob dies der Fall ist, entscheidet das Bundesgericht.</w:t>
      </w:r>
    </w:p>
    <w:p>
      <w:r>
        <w:t>Das Dispositiv befindet sich auf der nächsten Seite.</w:t>
      </w:r>
    </w:p>
    <w:p>
      <w:r>
        <w:t>A-649/2025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