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A-6479/2017 vom 21. Februar 2019</w:t>
      </w:r>
    </w:p>
    <w:p>
      <w:r>
        <w:t>Bundesverwaltungsgericht, 2019-02-21, FR</w:t>
      </w:r>
    </w:p>
    <w:p>
      <w:r>
        <w:rPr>
          <w:b/>
        </w:rPr>
        <w:t xml:space="preserve">Quelle: </w:t>
      </w:r>
      <w:r>
        <w:t>https://mcp.opencaselaw.ch/entscheid/bvger_A-6479_2017</w:t>
      </w:r>
    </w:p>
    <w:p>
      <w:r>
        <w:t>FR: TAF A-6479/2017 du 21 février 2019</w:t>
      </w:r>
    </w:p>
    <w:p>
      <w:r>
        <w:t>IT: TAF A-6479/2017 del 21 febbraio 2019</w:t>
      </w:r>
    </w:p>
    <w:p>
      <w:pPr>
        <w:pStyle w:val="Heading2"/>
      </w:pPr>
      <w:r>
        <w:t>Regeste</w:t>
      </w:r>
    </w:p>
    <w:p>
      <w:r>
        <w:t>Redevances de réception radio et télévision (procédures avant 2019)</w:t>
      </w:r>
    </w:p>
    <w:p>
      <w:pPr>
        <w:pStyle w:val="Heading2"/>
      </w:pPr>
      <w:r>
        <w:t>Erwägungen</w:t>
      </w:r>
    </w:p>
    <w:p>
      <w:r>
        <w:rPr>
          <w:b/>
        </w:rPr>
        <w:t>E. 5</w:t>
      </w:r>
    </w:p>
    <w:p>
      <w:r>
        <w:t>Les griefs du recourant s'avèrent vains à contester la décision attaquée.</w:t>
      </w:r>
    </w:p>
    <w:p>
      <w:r>
        <w:rPr>
          <w:b/>
        </w:rPr>
        <w:t>E. 5.1</w:t>
      </w:r>
    </w:p>
    <w:p>
      <w:r>
        <w:t>A l'examen du dossier, le Tribunal tient tout d'abord à souligner qu'en date du 13 août 2008, A._______ avait adressé à Billag SA une demande d'exonération, affirmant recevoir des prestations complémentaires fédérales à la rente AVS/AI. A ce moment-là, selon les indications de l'autorité de première instance, le prénommé ne faisait plus ménage commun avec son épouse, B._______, avec laquelle il s'était marié en juillet 2006, bien que le couple n'ait divorcé que plus tard, en 2011. Ce fait, le recourant ne le conteste pas, se bornant à affirmer que son mariage - qu'il faut distinguer du ménage commun - n'avait été dissous qu'en mai 2011. A l'appui de sa requête d'exonération, le recourant avait produit une attestation de la Caisse cantonale vaudoise de compensation AVS qui lui avait été envoyée dans le cadre de sa fonction de tuteur et qui avait trait à la situation d'une de ses pupilles, C._______. Des constatations de l'autorité pénale, il ressort que le recourant avait pris soin de supprimer le nom de cette dernière. Il a récidivé en juillet 2012. Ces faits, dénoncés par l'autorité de première instance le 15 novembre 2013, qualifiés par le Ministère public du canton de Fribourg d'escroquerie et de faux dans les certificats, ont valu à A._______ d'être condamné par ordonnance pénale du 19 septembre 2014, qui est définitive et exécutoire. Partant, le recourant, qui ne percevait pas de prestations complémentaires en août 2008, ne remplissait pas les conditions d'exonération exhaustivement déterminées à l'art. 64 al. 1 ORTV 2008 au jour où l'autorité de première instance lui a octroyé l'exonération des redevances. Par ailleurs, l'affirmation du recourant selon laquelle l'autorité inférieure lui aurait à de multiples reprises promis la gratuité en raison de son mandat de tuteur n'est appuyée par aucune pièce du dossier et ne saurait être considérée comme une explication crédible. Quoi qu'il en soit, exercer un pareil mandat ne donne légalement aucun droit à être exonéré des redevances de réception radio et télévision.</w:t>
      </w:r>
    </w:p>
    <w:p>
      <w:r>
        <w:rPr>
          <w:b/>
        </w:rPr>
        <w:t>E. 5.2</w:t>
      </w:r>
    </w:p>
    <w:p>
      <w:r>
        <w:t>Il s'agit à présent de déterminer si l'autorité de première instance était en droit, sur la base des considérations du jugement pénal et de l'art. 61 al. 2 ORTV, de revenir sur sa décision d'exonération du 16 septembre 2008, laquelle disposait au moment où elle a rendu sa décision du 5 novembre 2014, de l'autorité de la chose décidée. Formellement, Billag SA a procédé à la révocation de sa décision du 16 septembre 2008.</w:t>
      </w:r>
    </w:p>
    <w:p>
      <w:r>
        <w:rPr>
          <w:b/>
        </w:rPr>
        <w:t>E. 5.2.1</w:t>
      </w:r>
    </w:p>
    <w:p>
      <w:r>
        <w:t>Une révocation est une décision par laquelle une autorité administrative abroge ou modifie les effets d'une décision qu'elle a prise préalablement, voire que l'autorité qu'elle surveille a prise préalablement. Pour être régulières, les décisions doivent être conformes à l'ordre juridique. Le respect de la loi, l'exacte concrétisation du droit objectif, justifie la révocation de décisions illégales, à l'exception des cas où l'exigence de la sécurité des relations juridiques l'emporte. La modification ou la révocation des décisions est, en certains domaines, régie par des dispositions légales. En absence d'une réglementation légale, il incombe à la pratique administrative et judiciaire d'établir l'existence d'un motif de nature à justifier de remettre en cause une décision, après qu'elle soit devenue définitive (cf. arrêt du Tribunal administratif fédéral B-677/2017 du 5 décembre 2017 consid. 3.1 et la doctrine citée).</w:t>
      </w:r>
    </w:p>
    <w:p>
      <w:r>
        <w:rPr>
          <w:b/>
        </w:rPr>
        <w:t>E. 5.2.2</w:t>
      </w:r>
    </w:p>
    <w:p>
      <w:r>
        <w:t>En l'espèce, l'autorité de première instance s'est fondée sur l'art. 61 al. 2 ORTV pour révoquer sa décision d'exonération rendue le 16 septembre 2008. L'on peut s'interroger sur la pertinence de ce raisonnement. L'autorité de première instance n'a en effet nullement négligé de facturer une redevance mais a octroyé une exonération à A._______ sur la base de justificatifs falsifiés. Cette question peut toutefois demeurer indécise en l'espèce, les règles jurisprudentielles lui permettant de toute manière de révoquer la décision d'exonération de 2008. En effet, selon la pratique, une révocation peut intervenir lorsque la décision en cause est affectée d'un vice tel qu'il donnerait lieu mutatis mutandis à la révision d'un jugement qui en serait affecté ; parmi ces vices figure notamment le cas où l'autorité qui a rendu la décision a été influencée dans sa prise de décision par un crime ou un délit (cf. Jacques Dubey / Jean-Baptiste Zufferey, Droit administratif général, 2014, nos 1043, 1044 et 2168). Tel est le cas en l'espèce. C'est bien en raison de l'escroquerie et du faux dans les certificats commis par A._______, délits pour lesquels il a été pénalement condamné, que l'autorité de première instance a octroyé une exonération.</w:t>
      </w:r>
    </w:p>
    <w:p>
      <w:r>
        <w:rPr>
          <w:b/>
        </w:rPr>
        <w:t>E. 5.2.3</w:t>
      </w:r>
    </w:p>
    <w:p>
      <w:r>
        <w:t>Dès lors, sur la base de l'ordonnance pénale définitive et exécutoire, l'autorité de première instance était en droit de révoquer sa décision et de solliciter le paiement des redevances auquel le recourant a échappé.</w:t>
      </w:r>
    </w:p>
    <w:p>
      <w:r>
        <w:rPr>
          <w:b/>
        </w:rPr>
        <w:t>E. 5.3</w:t>
      </w:r>
    </w:p>
    <w:p>
      <w:r>
        <w:t>Demeure à déterminer si la créance est prescrite comme le soutient le recourant.</w:t>
      </w:r>
    </w:p>
    <w:p>
      <w:r>
        <w:rPr>
          <w:b/>
        </w:rPr>
        <w:t>E. 5.3.1</w:t>
      </w:r>
    </w:p>
    <w:p>
      <w:r>
        <w:t>Le Conseil fédéral a fixé le délai de prescription des redevances à cinq ans à partir de l'exigibilité de la créance (art. 61 al. 3 ORTV 2008). Il s'agit d'une règle classique de prescription (cf. art. 128 ch. 1 du Code des obligations ; CO, RS 220]). Le délai de prescription court donc à partir du moment où l'organe d'encaissement a le droit d'exiger la redevance. Il se caractérise par le fait qu'il peut être interrompu par un acte du créancier. En accomplissant l'acte requis en temps utile, le créancier peut donc éviter que son débiteur ne puisse finalement invoquer la prescription de sa créance. En droit public, lorsque la loi ne précise ni la forme ni le contenu d'un acte interruptif de prescription, le délai est interrompu de manière générale par tout acte par lequel le créancier manifeste de manière adéquate au débiteur la volonté de faire valoir son droit et d'obtenir l'exécution (ATF 133 V 579 consid. 4.3.1 ; cf. également Dubey / Zufferey, op. cit., n° 1254, et Thierry Tanquerel, Manuel de droit administratif, 2011, n° 744).</w:t>
      </w:r>
    </w:p>
    <w:p>
      <w:r>
        <w:rPr>
          <w:b/>
        </w:rPr>
        <w:t>E. 5.3.2</w:t>
      </w:r>
    </w:p>
    <w:p>
      <w:r>
        <w:t>In casu, en date du 15 novembre 2013, Billag SA a déposé une dénonciation pénale auprès du Ministère public du canton de Fribourg pour escroquerie et faux dans les certificats à l'encontre de A._______. Le Tribunal considère cette démarche comme étant un acte interruptif de prescription. L'autorité de première instance entendait en effet manifester son intention de remettre en cause l'exonération qu'elle avait octroyée à A._______, le 16 septembre 2008.</w:t>
      </w:r>
    </w:p>
    <w:p>
      <w:r>
        <w:rPr>
          <w:b/>
        </w:rPr>
        <w:t>E. 5.3.3</w:t>
      </w:r>
    </w:p>
    <w:p>
      <w:r>
        <w:t>Il s'ensuit que les créances exigibles à compter du 1er décembre 2008 - soit moins de cinq ans avant l'acte interruptif - ne sont pas prescrites, ainsi que l'ont correctement déterminé l'autorité de première instance et l'autorité inférieure dans leurs décisions respectives.</w:t>
      </w:r>
    </w:p>
    <w:p>
      <w:r>
        <w:rPr>
          <w:b/>
        </w:rPr>
        <w:t>E. 5.4</w:t>
      </w:r>
    </w:p>
    <w:p>
      <w:r>
        <w:t>Enfin, le recourant se plaint de la longueur de la procédure devant l'autorité inférieure, laquelle a duré exactement trois ans. L'autorité inférieure a en effet été saisie du recours le 11 novembre 2014 (ci-dessus, let. D.a) et sa décision est intervenue le 10 novembre 2017 (ci-dessus, let. E). L'instruction s'était achevée par une prise de position de l'autorité inférieure, le 29 septembre 2016 (ci-dessus, let. D.b). Il estime que ce retard doit amener le Tribunal à admettre la prescription de la créance.</w:t>
      </w:r>
    </w:p>
    <w:p>
      <w:r>
        <w:rPr>
          <w:b/>
        </w:rPr>
        <w:t>E. 5.4.1</w:t>
      </w:r>
    </w:p>
    <w:p>
      <w:r>
        <w:t>Aux termes de l'art. 29 al. 1 de la Constitution fédérale de la Confédération suisse du 18 avril 1999 (Cst. ; RS 101), toute personne a droit, dans une procédure judiciaire ou administrative, à ce que sa cause soit traitée ou jugée dans un délai raisonnable. Le caractère raisonnable, ou non, de la durée de la procédure s'apprécie en fonction des circonstances particulières de la cause et, entre autres critères, sont notamment déterminants la nature de l'affaire, son degré de complexité, la difficulté éventuelle d'élucider les questions de fait, l'enjeu que revêt le litige pour l'administré ainsi que le comportement de celui-ci et des autorités (cf. ATF 135 I 265 consid. 4.4 ; arrêt du Tribunal administratif fédéral A-1622/2015 du 30 juin 2017 consid. 6 et les références citées). A cet égard, il appartient au justiciable d'entreprendre ce qui est en son pouvoir pour que l'autorité fasse diligence, que ce soit en l'invitant à accélérer la procédure ou en recourant, le cas échéant, pour retard injustifié. A défaut, il ne saurait être fondé à se plaindre d'une durée excessive de la procédure. En outre, si l'autorité ne saurait invoquer une organisation déficiente ou une surcharge structurelle pour justifier la lenteur de la procédure, quelques « temps morts » ne peuvent lui être reprochés. Au surplus, le principe de célérité ne saurait l'emporter sur la nécessité d'une instruction complète (cf. arrêt du Tribunal administratif fédéral A-1622/2015 précité, ibid.).</w:t>
      </w:r>
    </w:p>
    <w:p>
      <w:r>
        <w:rPr>
          <w:b/>
        </w:rPr>
        <w:t>E. 5.4.2</w:t>
      </w:r>
    </w:p>
    <w:p>
      <w:r>
        <w:t>En l'espèce, force est de constater que A._______, durant les trois années de procédure devant l'OFCOM, n'a jamais interpellé cette autorité pour qu'elle fasse diligence. Dans ces conditions, selon la jurisprudence citée précédemment, le recourant n'est pas fondé à se plaindre de la durée excessive de la procédure. Au demeurant et à l'exception de la durée de traitement - treize mois - du courrier du recourant du 31 août 2015, laquelle ne saurait être considérée comme un « temps mort » acceptable, ladite procédure a été menée correctement, dans le respect du droit d'être entendu des parties. Il s'ensuit que le grief portant sur la durée de la procédure devant l'autorité inférieure doit également être écarté.</w:t>
      </w:r>
    </w:p>
    <w:p>
      <w:r>
        <w:rPr>
          <w:b/>
        </w:rPr>
        <w:t>E. 5.4.3</w:t>
      </w:r>
    </w:p>
    <w:p>
      <w:r>
        <w:t>Le Tribunal tient en toute hypothèse à préciser que, même si un déni de justice avait été reconnu in casu, il n'aurait de toute manière pas eu pour effet, contrairement à ce que le recourant tente de faire accroire, de le conduire à considérer différemment l'examen de la prescription auquel il a procédé précédemment (ci-dessus, consid. 5.3). En effet, l'application des dispositions légales relatives à la prescription n'est aucunement liée à la durée - même potentiellement excessive - d'une procédure administrative.</w:t>
      </w:r>
    </w:p>
    <w:p>
      <w:r>
        <w:rPr>
          <w:b/>
        </w:rPr>
        <w:t>E. 6</w:t>
      </w:r>
    </w:p>
    <w:p>
      <w:r>
        <w:t>Eu égard aux considérations qui précèdent, le recours s'avère mal fondé et doit être rejeté dans la mesure où il est recevable.</w:t>
      </w:r>
    </w:p>
    <w:p>
      <w:r>
        <w:rPr>
          <w:b/>
        </w:rPr>
        <w:t>E. 7.1</w:t>
      </w:r>
    </w:p>
    <w:p>
      <w:r>
        <w:t>Conformément à l'art. 63 al. 1 1ère phrase PA, les frais de procédure comprenant l'émolument d'arrêté, les émoluments de chancellerie et les débours, sont en général mis, dans le dispositif, à la charge de la partie qui succombe. En l'espèce, le 22 novembre 2017, le recourant a sollicité l'assistance judiciaire partielle (ci-dessus, let. F.b). Ses conclusions étant apparues d'emblée vouées à l'échec, sa demande d'assistance judiciaire partielle doit être rejetée. Il sied toutefois de fixer les frais de procédure en tenant compte de sa situation financière précaire, dûment attestée dans le formulaire « Demande d'assistance judiciaire » et dans les pièces justificatives jointes, tous déposés en décembre 2017 (art. 63 al. 1 dernière phrase PA et art. 6 let. b du règlement du 21 février 2008 concernant les frais, dépens et indemnités fixés par le Tribunal administratif fédéral [FITAF ; RS 173.320.2] ; arrêt du Tribunal administratif fédéral A-1128/2014 du 26 novembre 2014 consid. 5.1). Ils lui seront par conséquent entièrement remis.</w:t>
      </w:r>
    </w:p>
    <w:p>
      <w:r>
        <w:rPr>
          <w:b/>
        </w:rPr>
        <w:t>E. 7.2</w:t>
      </w:r>
    </w:p>
    <w:p>
      <w:r>
        <w:t>Enfin, en tant qu'il n'obtient pas gain de cause, le recourant n'a pas droit à des dépens (art. 64 al. 1 PA et art. 7 al. 1 FITAF a contrario). L'autorité inférieure et l'autorité de première instance n'y ont quant à elles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