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A-6451/2013 vom 8. April 2014</w:t>
      </w:r>
    </w:p>
    <w:p>
      <w:r>
        <w:t>Bundesverwaltungsgericht, 2014-04-08, FR</w:t>
      </w:r>
    </w:p>
    <w:p>
      <w:r>
        <w:rPr>
          <w:b/>
        </w:rPr>
        <w:t xml:space="preserve">Quelle: </w:t>
      </w:r>
      <w:r>
        <w:t>https://mcp.opencaselaw.ch/entscheid/bvger_A-6451_2013</w:t>
      </w:r>
    </w:p>
    <w:p>
      <w:r>
        <w:t>FR: TAF A-6451/2013 du 8 avril 2014</w:t>
      </w:r>
    </w:p>
    <w:p>
      <w:r>
        <w:t>IT: TAF A-6451/2013 del 8 aprile 2014</w:t>
      </w:r>
    </w:p>
    <w:p>
      <w:pPr>
        <w:pStyle w:val="Heading2"/>
      </w:pPr>
      <w:r>
        <w:t>Regeste</w:t>
      </w:r>
    </w:p>
    <w:p>
      <w:r>
        <w:t>Rapports de services de droit public de la Confédération (divers)</w:t>
      </w:r>
    </w:p>
    <w:p>
      <w:pPr>
        <w:pStyle w:val="Heading2"/>
      </w:pPr>
      <w:r>
        <w:t>Erwägungen</w:t>
      </w:r>
    </w:p>
    <w:p>
      <w:r>
        <w:rPr>
          <w:b/>
        </w:rPr>
        <w:t>E. 6</w:t>
      </w:r>
    </w:p>
    <w:p>
      <w:r>
        <w:t>Concernant enfin les autres arguments invoqués par le recourant, à savoir son déménagement, la production de l'attestation de niveau (pièce n° 6 du recourant) à son employeur, le fait qu'il n'a pas osé revendiquer trop fortement la conclusion d'un contrat de durée indéterminée et ses bonnes évaluations, le Tribunal peine à comprendre quelles prétentions il entend en déduire. Quoi qu'il en soit, force est de constater, comme analysé plus avant, que l'autorité inférieure n'a pas méconnu les dispositions applicables en matière de limitation des rapports de travail (cf. ci avant consid. 5). Pour ce motif, les circonstances dans lesquelles les rapports de travail doivent être considérés comme étant de durée indéterminée, et non plus de durée déterminée, ne sont pas réalisées en l'espèce. S'agissant enfin de la prétendue promesse d'engagement "fixe" qui lui aurait été faite, le recourant se limite à faire valoir que son supérieur lui aurait conseillé de faire reconnaître son certificat de capacité étranger. Force est de constater que cette communication - provenant de surcroît d'un supérieur qui n'a pas la compétence décisionnelle pour engager un collaborateur - ne saurait constituer une telle promesse au titre de la bonne foi (art. 5 al. 3 de la Constitution fédérale de la Confédé­ration suisse du 18 avril 1999 [Cst., RS 101]).</w:t>
      </w:r>
    </w:p>
    <w:p>
      <w:r>
        <w:rPr>
          <w:b/>
        </w:rPr>
        <w:t>E. 7</w:t>
      </w:r>
    </w:p>
    <w:p>
      <w:r>
        <w:t>En résumé, les griefs soulevés par le recourant sont mal fondés, de sorte que son recours doit être rejeté. Les rapports de travail qui liaient les parties étaient de durée déterminée et ont pris fin, comme convenu, le 31 mars 2013, étant précisé que l'incapacité de travail pour raison de maladie du recourant n'y change rien, dans la mesure où les dispositions sur le licenciement en temps inopportun ne sont pas applicables au contrat de durée déterminée (cf. notamment: Peter Helbling, in: Port­mann/Uhlmann [éd.], Bundespersonalgesetz [BPG], Berne 2013, n. 27 et 55 art. 9 LPers; Peter Hänni, Beendigung öffentlicher Dienstver­hältnisse, in: Münch/Metz [éd.], Stel­lenwechsel und Entlassung, 2ème éd., Bâle 2012, n. 8.22 p. 223 et réf. cit.).</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