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A-6450/2007 vom 3. März 2008</w:t>
      </w:r>
    </w:p>
    <w:p>
      <w:r>
        <w:t>Bundesverwaltungsgericht, 2008-03-03, DE</w:t>
      </w:r>
    </w:p>
    <w:p>
      <w:r>
        <w:rPr>
          <w:b/>
        </w:rPr>
        <w:t xml:space="preserve">Quelle: </w:t>
      </w:r>
      <w:r>
        <w:t>https://mcp.opencaselaw.ch/entscheid/bvger_A-6450_2007</w:t>
      </w:r>
    </w:p>
    <w:p>
      <w:r>
        <w:t>FR: TAF A-6450/2007 du 3 mars 2008</w:t>
      </w:r>
    </w:p>
    <w:p>
      <w:r>
        <w:t>IT: TAF A-6450/2007 del 3 marzo 2008</w:t>
      </w:r>
    </w:p>
    <w:p>
      <w:pPr>
        <w:pStyle w:val="Heading2"/>
      </w:pPr>
      <w:r>
        <w:t>Regeste</w:t>
      </w:r>
    </w:p>
    <w:p>
      <w:r>
        <w:t>Auflösung des Arbeitsverhältnisses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ETH-Beschwerdekommission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Der Beschwerdeführer stellt ein Ausstandsbegehren gegen den Präsidenten der Vorinstanz. Gemäss Art. 10 Abs. 2 VwVG und der diesem entsprechenden Bestimmung von Art. 10 Abs. 3 GO ETH-BK entscheidet die Vorinstanz unter Ausschluss der betroffenen Person über Ausstandsbegehren. Auf das Begehren ist daher im vorliegenden Verfahren mangels Zuständigkeit nicht einzutreten.</w:t>
      </w:r>
    </w:p>
    <w:p>
      <w:r>
        <w:rPr>
          <w:b/>
        </w:rPr>
        <w:t>E. 1.2</w:t>
      </w:r>
    </w:p>
    <w:p>
      <w:r>
        <w:t>Im Übrigen ist auf die Beschwerde einzutreten.</w:t>
      </w:r>
    </w:p>
    <w:p>
      <w:r>
        <w:rPr>
          <w:b/>
        </w:rPr>
        <w:t>E. 2</w:t>
      </w:r>
    </w:p>
    <w:p>
      <w:r>
        <w:t>Der Beschwerdeführer sieht im Beizug eines ausserordentlichen juristischen Sekretärs eine Verletzung seines verfassungsmässigen Anspruchs auf einen gesetzlichen Richter.</w:t>
      </w:r>
    </w:p>
    <w:p>
      <w:r>
        <w:rPr>
          <w:b/>
        </w:rPr>
        <w:t>E. 2.1</w:t>
      </w:r>
    </w:p>
    <w:p>
      <w:r>
        <w:t>Gemäss Art. 30 Abs. 1 der Bundesverfassung der Schweizerischen Eidgenossenschaft vom 18. April 1999 (BV, SR 101) hat jede Person, deren Sache in einem gerichtlichen Verfahren beurteilt werden muss, Anspruch auf ein durch Gesetz geschaffenes, zuständiges, unabhängiges und unparteiisches Gericht. Bestandteil dieses Anspruchs ist die ordnungsgemässe Zusammensetzung des Gerichtes. Dazu gehört auch die gesetzeskonforme Bestellung des Gerichtsschreibers, sofern diesem beratende Stimme zukommt (BGE 125 V 499 E. 2b mit Hinweisen).</w:t>
      </w:r>
    </w:p>
    <w:p>
      <w:r>
        <w:rPr>
          <w:b/>
        </w:rPr>
        <w:t>E. 2.2</w:t>
      </w:r>
    </w:p>
    <w:p>
      <w:r>
        <w:t>Art. 30 Abs. 1 BV bezieht sich indessen nur auf gerichtliche Verfahren und kann nicht unbesehen auf nichtrichterliche Behörden übertragen werden (BGE 127 I 196 E. 2b). Ein Gericht im Sinn von Art. 30 Abs. 1 ist eine zur Rechtsprechung zuständige, unabhängige, unparteiische und unbefangene, nur dem Recht verpflichtete Behörde (Reinhold Hotz, in: Die schweizerische Bundesverfassung, Kommentar, Zürich 2002, N. 9 zu Art. 30). Ob die ETH-Beschwerdekommission als interne Beschwerdeinstanz die erforderliche Unabhängigkeit im Sinne von Art. 30 Abs. 1 BV aufweist und diese Norm damit vorliegend anwendbar ist, braucht aber nicht abschliessend geklärt zu werden, denn der hier interessierende Anspruch auf gesetzeskonforme Zusammensetzung des Spruchkörpers ergibt sich auch aus den allgemeinen Verfahrensgarantien von Art. 29 Abs. 1 BV. Nach dieser Bestimmung hat jede Person in Verfahren vor Gerichts- und Verwaltungsinstanzen Anspruch auf gleiche und gerechte Behandlung sowie auf Beurteilung innert angemessener Frist. Aus dem Recht auf gleiche und gerechte Behandlung ist ein Anspruch auf rechtmässige Zusammensetzung der entscheidenden Behörde abzuleiten (Giovanni Biaggini, Bundesverfassung der Schweizerischen Eidgenossenschaft, Zürich 2007, Art. 29 N. 15; Benjamin Schindler, Die Befangenheit der Verwaltung, Zürich 2002, S. 199 f.). Die Vorinstanz ist ausschliesslich mit Rechtsprechungsaufgaben beschäftigt und untersteht nicht der direkten Weisungsgewalt einer übergeordneten Behörde. Ihre Mitglieder sind in ihrer Tätigkeit unabhängig und nur dem Gesetz unterworfen (Art. 37a Abs. 3 des Bundesgesetzes vom 4. Oktober 1991 über die Eidgenössischen Technischen Hochschulen [ETH-Gesetz, SR 414.110]). Sie hat damit zumindest eine gerichtsähnliche Stellung. Für die Zusammensetzung solcher Behörden sind die gleichen Anforderungen zu stellen wie bei einem Gericht (BGE 127 I 128 E. 4a).</w:t>
      </w:r>
    </w:p>
    <w:p>
      <w:r>
        <w:rPr>
          <w:b/>
        </w:rPr>
        <w:t>E. 2.3</w:t>
      </w:r>
    </w:p>
    <w:p>
      <w:r>
        <w:t>Es ist damit in einem ersten Schritt zu prüfen, ob gemäss der Verfahrensordnung der Vorinstanz dem juristischen Sekretär bei der Entscheidfindung zumindest eine beratende Stimme zukommt. Wird dies bejaht, stellt sich die Frage, ob die Bestellung des juristischen Sekretärs vorliegend den gesetzlichen Anforderungen entsprochen hat.</w:t>
      </w:r>
    </w:p>
    <w:p>
      <w:r>
        <w:rPr>
          <w:b/>
        </w:rPr>
        <w:t>E. 2.3.1</w:t>
      </w:r>
    </w:p>
    <w:p>
      <w:r>
        <w:t>Organisation und Verfahren der Vorinstanz werden durch die Geschäftsordnung der ETH-Beschwerdekommission vom 18. September 2003 (nachfolgend GO ETH-BK, SR 414.110.21) geregelt. Gemäss Art. 2 Abs. 1 und 2 GO ETH-BK setzt sich die Kommission aus dem Präsidenten, dem Vizepräsidenten und fünf weiteren Mitgliedern, darunter der Leiterin oder dem Leiter des Sekretariats, zusammen. Die Mitarbeiter des Sekretariats, die nicht Mitglied der Kommission sind, haben gemäss Art. 16 Abs. 6 GO ETH-BK in Verhandlungen über Fälle, an deren Instruktion sie mitgewirkt haben, beratende Stimme. Damit steht fest, dass der hier beigezogene ausserordentliche juristische Sekretär bei der Beratung des Revisionsbegehrens des Beschwerdeführers beratende Stimme hatte.</w:t>
      </w:r>
    </w:p>
    <w:p>
      <w:r>
        <w:rPr>
          <w:b/>
        </w:rPr>
        <w:t>E. 2.3.2</w:t>
      </w:r>
    </w:p>
    <w:p>
      <w:r>
        <w:t>Es ist damit weiter zu prüfen, ob den Ansprüchen an die rechtmässige Zusammensetzung der Behörde im vorliegenden Verfahren genügt wurde. Der Grundsatz, dass die Rechtsprechung nicht durch die gezielte Auswahl der im Einzelfall urteilenden Justizperson beeinflusst werden kann, stellt eine wesentliche Sicherung der institutionellen Unabhängigkeit dar. Das Vertrauen der Rechtssuchenden nimmt Schaden, wenn sie ein Urteil von Personen befürchten müssen, die gerade mit Blick auf ihren Fall und ihre Person bestellt worden sind (Regina Kiener, Richterliche Unabhängigkeit, Bern 2001, S. 310 f.). So wird es bereits als problematisch erachtet, wenn bei der Bestimmung eines Spruchkörpers Handlungsspielräume bestehen. Eine entsprechende gesetzliche Regelung erscheint aber mit Rücksicht auf die besseren Möglichkeiten zur Rücksichtnahme auf die Arbeitsbelastung und besonderen Kenntnisse als zulässig. Mehr als problematisch ist dagegen eine Regelung wie in Art. 126 des Militärstrafprozesses vom 23. März 1979 (MStP, SR 322.1), der vorsieht, dass der Präsident des Militärgerichts ausserordentliche Ersatzrichter bezeichnet, wenn das Gericht aus den Richtern und Ersatzrichtern nicht gebildet werden kann (Biaggini, a.a.O., Art. 30 N 5).</w:t>
      </w:r>
    </w:p>
    <w:p>
      <w:r>
        <w:rPr>
          <w:b/>
        </w:rPr>
        <w:t>E. 2.3.3</w:t>
      </w:r>
    </w:p>
    <w:p>
      <w:r>
        <w:t>Aus den Akten geht nicht hervor, dass der ausserordentliche juristische Sekretär gerade im Hinblick auf die Person des Beschwerdeführers ernannt wurde. Unbestritten ist aber, dass ihm nur dieser einzelne Fall zur Bearbeitung übertragen worden ist. Der juristische Sekretär wurde demnach gerade für den vorliegenden Fall beigezogen. Mit einem solchen einzelfallbezogenen Beizug eines Aussenstehenden wird die Behörde für ein bestimmtes Urteil gezielt zusammengesetzt; damit aber wird der verfassungsmässige Anspruch des Beschwerdeführers auf rechtmässige Zusammensetzung der Entscheidbehörde eingeschränkt.</w:t>
      </w:r>
    </w:p>
    <w:p>
      <w:r>
        <w:rPr>
          <w:b/>
        </w:rPr>
        <w:t>E. 2.3.4</w:t>
      </w:r>
    </w:p>
    <w:p>
      <w:r>
        <w:t>Ein Eingriff in die Grundrechte des Beschwerdeführers ist, wenn überhaupt, gemäss Art. 36 Abs. 1 BV nur gestützt auf eine gesetzliche Grundlage zulässig. In der Lehre ist umstritten, ob ausserhalb der klassischen Freiheitsrechte, so namentlich bei den hier betroffenen verfassungsmässigen Verfahrensgarantien mit Minimalstandard-Charakter, überhaupt Eingriffe möglich sind oder ob auch mit gesetzlicher Grundlage nur Relativierungen zulässig erscheinen (Biaggini, a.a.O., Art. 36 N 4). Dies kann vorliegend aber offen bleiben. Wie nachfolgend gezeigt wird, sind die Voraussetzungen für einen Grundrechtseingriff ohnehin nicht erfüllt.</w:t>
      </w:r>
    </w:p>
    <w:p>
      <w:r>
        <w:rPr>
          <w:b/>
        </w:rPr>
        <w:t>E. 2.3.5</w:t>
      </w:r>
    </w:p>
    <w:p>
      <w:r>
        <w:t>Gemäss Art. 8 Abs. 2 GO ETH-BK erledigt das Sekretariat die mit der Kommissionstätigkeit verbundenen fachlichen und administrativen Aufgaben. Es erscheint sachgerecht und im Interesse der Rechtssuchenden, wenn das Sekretariat bei andauernder grosser Arbeitsbelastung die Zahl der Mitarbeitenden erhöhen kann. Der Beizug zusätzlicher Mitarbeitender hat aber den gesetzliche Regelungen für die Bestellung der Behörde zu entsprechen. In den anwendbaren Gesetzen, namentlich im VwVG, im ETH-Gesetz und im Bundespersonalgesetz vom 24. März 2000 (BPG, SR 172.220.1) findet sich keine besondere Bestimmung für den Beizug ausserordentlicher Mitarbeiter bei hoher Arbeitsbelastung. Die Tätigkeit und die Organisation der Vorinstanz finden ihre formellgesetzliche Grundlage in Art. 37a Abs. 5 ETH-Gesetz, der bestimmt, dass der ETH-Rat eine Geschäftsordnung für die Vorinstanz erlässt und darin die Zuständigkeit des Präsidenten in dringlichen Fällen sowie die Bildung von Kammern mit Entscheidungsbefugnis vorsieht. Auch auf Verordnungsstufe finden sich keine abweichenden Vorschriften. Weder die GO ETH-BK noch die Verordnung des ETH-Rates vom 15. März 2001 über das Personal im Bereich der Eidgenössischen Technischen Hochschulen (PVO-ETH, 172.220.113) enthalten Bestimmungen, wie ein Beizug zusätzlicher Mitarbeiter zu erfolgen hat. Zudem ist festzuhalten, dass die GO ETH-BK als Verordnung des ETH-Rates kein formelles Gesetz wäre und auch aus diesem Grunde das verfassungsmässige Recht auf rechtmässige Zusammensetzung der entscheidenden Behörde nicht einzuschränken vermöchte. Auf ausserordentliche Mitarbeiter finden demnach die allgemeinen personalrechtlichen Vorschriften Anwendung. Das Arbeitsverhältnis der Mitarbeitenden des Sekretariates der Vorinstanz richtet sich gemäss Art. 8 Abs. 3 GO ETH-BK nach dem BPG und der PVO-ETH. Art. 14 Abs. 1 PVO-ETH verlangt die öffentliche Ausschreibung von Stellen. Davon kann gemäss Art. 14 Abs. 2 PVO-ETH nur abgesehen werden, wenn eine interne Ausschreibung eine ausreichende Wettbewerbssituation nicht gefährdet oder der rechtsgleiche Zugang zu einer Stelle nicht gefährdet ist. Die Mitarbeiter werden durch einen Arbeitsvertrag gemäss Art. 16 PVO-ETH angestellt. Der Beizug des ausserordentlichen juristischen Sekretärs ist vorliegend nicht im Rahmen des üblichen Verfahrens zur Personalgewinnung erfolgt. Weder wurde die Stelle öffentlich ausgeschrieben, noch wurde auf andere Weise eine Wettbewerbssituation geschaffen. Der ausserordentliche juristische Sekretär wurde auch nicht im Rahmen eines Arbeitsverhältnisses gemäss PVO-ETH beschäftigt. Vielmehr wurde er gemäss den Ausführungen der Vorinstanz ohne vorherige interne oder externe Ausschreibung im Rahmen eines Auftragsverhältnisses ausschliesslich für dieses eine Verfahren mit den Aufgaben eines juristischen Sekretärs betraut. Eine gesetzliche Grundlage für das von der Vorinstanz gewählte abweichende Vorgehen ist indessen nicht ersichtlich.</w:t>
      </w:r>
    </w:p>
    <w:p>
      <w:r>
        <w:rPr>
          <w:b/>
        </w:rPr>
        <w:t>E. 2.3.6</w:t>
      </w:r>
    </w:p>
    <w:p>
      <w:r>
        <w:t>Vor dem Hintergrund der vorstehend dargelegten Grundsätze ist zu fordern, dass der Beizug von ausserordentlichen Mitarbeitern nicht in Hinblick auf einen einzelnen Fall erfolgt. Der verfassungsmässige Anspruch des Beschwerdeführers auf rechtmässige Zusammensetzung der Entscheidbehörde ist damit vorliegend verletzt.</w:t>
      </w:r>
    </w:p>
    <w:p>
      <w:r>
        <w:rPr>
          <w:b/>
        </w:rPr>
        <w:t>E. 2.3.7</w:t>
      </w:r>
    </w:p>
    <w:p>
      <w:r>
        <w:t>Der aus der Verfassung abgeleitete Anspruch auf richtige Zusammensetzung der Behörde ist formeller Natur; seine Verletzung führt, ungeachtet der Erfolgsaussichten der Beschwerde in der Sache selber, zur Aufhebung des angefochtenen Entscheids (BGE 127 I 128 E. 4d). Die Möglichkeit, ein Urteil bei einer ordentlichen Rechtsmittelinstanz anzufechten, vermag am Mangel in der Besetzung der entscheidenden Behörde nichts zu ändern, die Ansprüche müssen im erstinstanzlichen Verfahren gewährleistet werden; eine Heilung in einem späteren Beschwerdeverfahren ist nicht möglich (BGE 125 V 499 E. 2c, René Rhinow/Heinrich Koller/Christina Kiss, Öffentliches Prozessrecht und Justizverfassungsrecht des Bundes, Basel/Frankfurt a. M. 1996, Rz. 179).</w:t>
      </w:r>
    </w:p>
    <w:p>
      <w:r>
        <w:rPr>
          <w:b/>
        </w:rPr>
        <w:t>E. 2.3.8</w:t>
      </w:r>
    </w:p>
    <w:p>
      <w:r>
        <w:t>Die Beschwerde erscheint damit als begründet, soweit darauf einzutreten ist. Der angefochtene Entscheid ist aufzuheben und die Angelegenheit zur Neubeurteilung in gesetzeskonformer Besetzung an die Vorinstanz zurückzuweisen. Damit entfällt vorliegend die materielle Beurteilung der vom Beschwerdeführer geltend gemachten Revisionsgründe. Ebenfalls offen bleiben kann die vom Beschwerdeführer aufgeworfene formelle Rüge, wonach ihm der Spruchkörper nicht rechtsgenüglich bekannt gegeben wurde.</w:t>
      </w:r>
    </w:p>
    <w:p>
      <w:r>
        <w:rPr>
          <w:b/>
        </w:rPr>
        <w:t>E. 3</w:t>
      </w:r>
    </w:p>
    <w:p>
      <w:r>
        <w:t>Gemäss Art. 34 Abs. 2 BPG ist das Verfahren vor dem Bundesverwaltungsgericht, ausser im Falle von Mutwilligkeit, kostenlos. Vorliegend werden daher keine Verfahrenskosten erhoben.</w:t>
      </w:r>
    </w:p>
    <w:p>
      <w:r>
        <w:rPr>
          <w:b/>
        </w:rPr>
        <w:t>E. 4</w:t>
      </w:r>
    </w:p>
    <w:p>
      <w:r>
        <w:t>Bei diesem Ausgang des Verfahrens gilt der Beschwerdeführer als obsiegend und hat damit gemäss Art. 64 Abs. 1 VwVG Anspruch auf Ersatz ihm erwachsener notwendiger und verhältnismässig hoher Kosten. Gemäss Art. 14 Abs. 2 des Reglements vom 11. Dezember 2006 über die Kosten und Entschädigungen vor dem Bundesverwaltungsgericht (VGKE, SR 173.320.2) ist die Entschädigung einer Partei, die keine Kostennote einreicht, nach Ermessen festzusetzen. Der Beschwerdeführer ist durch einen nicht berufsmässig tätigen Rechtsbeistand vertreten. Gemäss Art. 10 Abs. 2 VGKE ist damit von einem Stundensatz von mindestens Fr. 100.-- auszugehen. Eine Parteientschädigung von Fr. 3'000.-- (inkl. Auslagen und allfälliger Mehrwertsteuer) erscheint angesichts des Umfangs der Streitsache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