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A-6429/2010 vom 7. Februar 2011</w:t>
      </w:r>
    </w:p>
    <w:p>
      <w:r>
        <w:t>Bundesverwaltungsgericht, 2011-02-07, DE</w:t>
      </w:r>
    </w:p>
    <w:p>
      <w:r>
        <w:rPr>
          <w:b/>
        </w:rPr>
        <w:t xml:space="preserve">Quelle: </w:t>
      </w:r>
      <w:r>
        <w:t>https://mcp.opencaselaw.ch/entscheid/bvger_A-6429_2010</w:t>
      </w:r>
    </w:p>
    <w:p>
      <w:r>
        <w:t>FR: TAF A-6429/2010 du 7 février 2011</w:t>
      </w:r>
    </w:p>
    <w:p>
      <w:r>
        <w:t>IT: TAF A-6429/2010 del 7 febbraio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der Verordnung vom 15. Juni 1998 zum schweizerisch-amerikanischen Doppelbesteuerungsabkommen vom 2. Oktober 1996 [Vo DBA-USA, SR 672.933.61]). Die Zuständigkeit des Bundesverwaltungsgerichts zur Be­handlung der Beschwerde ist somit gegeben. Die Beschwerdeführerin erfüllt die Voraussetzungen der Be­schwer­de­befugnis nach Art. 48 Abs. 1 VwVG. Auf die form- und frist­gemäss eingereichte Beschwerde ist einzutreten.</w:t>
      </w:r>
    </w:p>
    <w:p>
      <w:r>
        <w:rPr>
          <w:b/>
        </w:rPr>
        <w:t>E. 1.2</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mit einer von der Vorinstanz abweichenden Begründung bestätigen kann (vgl. BVGE 2007/41 E. 2 mit Hinweisen; Urteil des Bundesver­wal­tungs­ge­richts A 3038/2008 vom 9. Juni 2010 E. 1.5).</w:t>
      </w:r>
    </w:p>
    <w:p>
      <w:r>
        <w:rPr>
          <w:b/>
        </w:rPr>
        <w:t>E. 1.3</w:t>
      </w:r>
    </w:p>
    <w:p>
      <w:r>
        <w:t>Im Rechtsmittelverfahren kommt - wenn auch in sehr abge­schwäch­ter Form (Moser/Beusch/Kneu­bühler, a.a.O., Rz.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Es ist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w:t>
      </w:r>
    </w:p>
    <w:p>
      <w:r>
        <w:t>Das Verfahren in Bezug auf den Informationsaustausch mit den USA richtet sich nach der Vo DBA-USA, soweit der Staatsvertrag 10 keine spezielleren Bestimmungen enthält (vgl. Urteil des Bundesverwaltungsgerichts A 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 In der Folge obliegt es dem vom Amtshilfeverfahren Betroffenen, den begründeten Tatverdacht klarerweise und entscheidend zu entkräften. Gelingt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3</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wann ein begründeter Verdacht auf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CHF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w:t>
      </w:r>
    </w:p>
    <w:p>
      <w:r>
        <w:rPr>
          <w:b/>
        </w:rPr>
        <w:t>E. 4.1</w:t>
      </w:r>
    </w:p>
    <w:p>
      <w:r>
        <w:t>In ihrer Schluss­ver­fügung vom 9. August 2010 ist die ESTV zum Ergebnis gelangt, im konkreten Fall seien alle Voraus­setzungen der Kategorie 2/A/b erfüllt. Die materielle Verfügungsadressatin habe während des mass­geblichen Zeitraums ihren Wohnsitz in den USA gehabt. An der Bank­beziehung mit Stammnummer ***, die auf ihren Namen gelautet habe, sei sie wirtschaftlich berechtigt gewesen. Sodann lägen keine Hin­­­weise vor, dass während des massgeblichen Zeitraumes ein Formular W-9 eingereicht worden sei. Der Gesamtwert des Kontos habe am 31. Dezember 2001 die massgebliche Grenze von 1'000'000.-- Franken über­stiegen. In den Jahren 2001 und 2003 seien Erträge von 141'123.-- Franken generiert worden. Dazu kämen die in den Jahren 2002 und 2003 erzielten Kapitalgewinne von mindestens 230'135.-- Franken. Die durchschnittlichen Einkünfte im Rahmen von drei aufeinander folgenden Jahren hätten den Betrag 100'000.-- Franken pro Jahr überstiegen. Die Beschwerdeführerin rügt vor Bundesverwaltungsgericht die unrichtige Feststellung des rechtserheblichen Sachverhalts durch die ESTV (E. 4.2), die Verletzung von Bundesrecht (E. 4.3 und E. 4.4) sowie die Unangemessen­heit der Schlussverfügung (E. 4.5). Darauf ist im Folgenden einzugehen.</w:t>
      </w:r>
    </w:p>
    <w:p>
      <w:r>
        <w:rPr>
          <w:b/>
        </w:rPr>
        <w:t>E. 4.2</w:t>
      </w:r>
    </w:p>
    <w:p>
      <w:r>
        <w:t>Die Beschwerdeführerin wirft der ESTV vor, den rechtserheblichen Sach­­­verhalt unrichtig festgestellt zu haben. Da sie ihr Konto bei der UBS AG am 29. Mai 1986 eröffnet und am 22. Juli 2003 wieder geschlossen habe, sei das in Kategorie 2/A/b des Anhangs zum Staatsvertrag 10 ver­ankerte Kriterium der Dreijahresperiode nicht gegeben. Insofern werde die Beschwerdeführerin vom (zeitlichen) Anwendungsbereich des Staatsver­­trags 10 nicht erfasst, weshalb keine fortgesetzte schwere Steuerhinterziehung vorläge und auch keine Amtshilfe geleistet werden dürfe; damit habe die ESTV das Bankkundengeheimnis gemäss Art. 47 des Bundesgesetzes vom 8. November 1934 über die Banken und Sparkassen (Bankengesetz, BankG; SR 952.0) verletzt (vgl. dazu E. 5). Weil das Kriterium der Dreijahresperiode nicht gegeben sei, habe die Beschwerdeführerin auch kein Formular W-9 ausfüllen können, da dieses erst am 1. Januar 2002 eingeführt worden sei. Die Vorbringen der Beschwerdeführerin zielen ins Leere. Die Behauptung, eine allfällige Auskunfterteilung gegenüber der IRS beschränke sich lediglich auf den Zeitraum vom 31. Dezember 2001 bis zum 22. Juli 2003, lässt sich mit dem Wortlaut der Ziff. 2/A/b des Anhangs zum Staatsvertrag 10 nicht vereinbaren. Zwar muss, wie die Beschwerdeführerin korrekt ausführt, ein Konto bei der UBS AG mindestens drei Jahre bestanden haben, doch genügt es, wenn lediglich ein Jahr vom massgebenden Zeitraum erfasst wird. Wie die ESTV in der Vernehmlassung richtig darlegt, darf das Konto daher frühestens per 1. Januar 2002 ge­schlossen und spätestens am 31. De­zember 2005 eröffnet worden sein. Im vorliegenden Fall wurde das Konto am 29. Mai 1986 eröffnet und am 22. Juli 2003 wieder geschlossen. Die Bankbeziehung mit der UBS AG existierte also deutlich länger als drei Jahre und fällt auch ohne weiteres in die von der Kategorie 2/A/b festgelegte Zeitspanne. Somit wäre es auch - entgegen der Behauptung der Beschwerdeführerin, wonach sie das Formular W-9 nicht vor der Einführung eines Qualified Intermediary Agreements am 1. Januar 2002 habe ausfüllen können - durchaus möglich gewesen, zumindest für das Jahr 2002 ein Formular W-9 auszufüllen.</w:t>
      </w:r>
    </w:p>
    <w:p>
      <w:r>
        <w:rPr>
          <w:b/>
        </w:rPr>
        <w:t>E. 4.3</w:t>
      </w:r>
    </w:p>
    <w:p>
      <w:r>
        <w:t>Unter dem Titel "Verletzung von Bundesrecht" hebt die Beschwerdeführerin hervor, sie habe keinerlei Aktivitäten ausgeübt, um ihr Konto gegen­über der IRS zu verbergen oder zu verschleiern. Anlässlich der Einführung eines neuen, auf das Qualified Intermediary Agreement abgestützten Verfahrens (nachfolgend: QI-Ver­fah­ren; zum Text vgl.: Pestalozzi/Lachenal/Patry [bearbeitet von Silvia Zimmer­mann unter Mitarbeit von Marion Vollenweider], Rechtsbuch der schweizerischen Bundessteuern, Therwil [Nachtragssammlung], Band 4, Kenn­ziffer I B h 51) im Jahr 2001, d.h. eines Quellensteuerverfahrens für Er­träge und Ka­pitalgewinne auf US-amerikanische Wertschriften, habe die Beschwerde­führerin auf eine Unterzeichnung des Formulars W-9 verzichtet und statt­dessen eine Erklärung zum Verzicht auf US-ame­ri­ka­ni­sche Wert­pa­piere abgegeben. Dieses QI-konforme Vorgehen - so die Beschwerdeführerin - bedeute nicht, dass mit dem Verzicht auf die Abgabe des Formulars W-9 automa­tisch Steuern hinterzogen worden seien. Es spräche nichts dagegen, dass ein Steuerzahler, ungeachtet des Verzichts auf eine Abgabe des For­mulars W-9, die erzielten Einkünfte in seiner US-amerikanischen Steuererklärung gleichwohl deklariert habe. Man könne deshalb der Beschwerdeführerin keinerlei betrügerisches Verhalten oder Machenschaften zur Verschleierung ihres Bankkontos zur Last legen. Mangels eines Anfangsverdachts für betrügerisches Verhalten sei keine Amtshilfe zu gewähren. Im Rahmen des Amtshilfe­verfahrens hat die ESTV - ebenso wie das mittels Beschwerde angerufene Bundes­verwaltungs­gericht - nicht ab­schliessend zu be­urteilen, ob von den in das Amtshilfe­ver­fahren einbe­zo­ge­nen Personen tatsächlich ein fort­gesetztes und schweres Steuer­delikt begangen wurde, sondern sie bzw. das Bundes­verwaltungs­gericht hat lediglich darüber zu befinden, ob ein begründeter Ver­dacht auf ein sol­ches im Sinne des Staats­vertrags 10 vorliegt (vgl. Urteil des Bundesverwaltungsgerichts A-4013/2010 vom 15. Juli 2010 E. 2.2). Sind die im Anhang zum Staatsvertrag 10 fest­gehaltenen Kriterien für die Kategorie 2/A/b nach der Auslegung des Bundesverwaltungsge­richts im Einzelfall erfüllt, ist der begründete Verdacht auf «fortgesetzte und schwere Steuerdelikte» als gegeben zu erachten und die Amtshilfe nur in dem Fall zu verweigern, in dem die ins Amtshilfeverfahren einbezogene Person diesen bestehenden Verdacht klarerweise und entschei­dend zu entkräften vermag (vgl. E. 2 hiervor sowie Urteil des Bundesver­waltungsgerichts A-4013/2010 vom 15. Juli 2010 E. 2.2). Dies gelingt der Beschwerdeführerin nicht, zumal sie keine der von ihr aufgestellten Behauptungen auch nur ansatzweise zu belegen ver­mag. Wie bereits ausgeführt, kann es nicht Aufgabe des Bundesverwaltungsgerichts sein, im hier betroffenen Rechtsbereich den Sachverhalt vollkommen neu zu erforschen (E. 2). Die Beschwerdeführerin führt zu Recht aus, dass mit dem Verzicht auf das Formular W-9 keineswegs automa­tisch auf Steuerhinterziehung geschlossen werden dürfe. In ihrer Vernehmlassung betont die ESTV, dass sie aus dem Fehlen eines Formulars W-9 keine derartigen Vermutung ableite. Dem ist zuzustimmen, zumal diese Frage im ersuchenden Staat bzw. im von den USA durch­zuführenden abschliessenden Verfahren zu klären sein wird. Die Beschwerdeführerin bestreitet sodann, dass in ihrem Fall weder die Kriterien der Kategorie 2/A/b noch diejenigen der Ziff. 2/A/a gemäss Anhang zum Staatsvertrag 10 einschlägig sein können. In Bezug auf die Kategorie 2/A/b macht die Beschwerdeführerin geltend, dass zwischen den Jahren 2001 bis 2003 die Erträge deutlich unter der im Staatsvertrag 10 genannten Betragsgrenze von 100'000.-- Franken geblieben und in der relevanten Periode nur Kapitalverluste generiert worden seien. Das Bundesverwaltungsgericht hat im Urteil A-4013/2010 (aus­zugs­weise veröffentlicht in BVGE 2010/40) entschieden, der Staatsvertrag lege verbind­lich fest, was als steuer­bare Einkünfte zu gelten habe. Mass­geblich seien nicht die effektiven Kapitalgewinne, sondern 50% der Bruttoverkaufserlöse. Zur Kritik an der letzten Aussage hat sich das Bundes­ver­wal­tungs­ge­richt im Urteil A-6053/2010 vom 10. Januar 2011 E. 2.2-2.5 geäussert und dabei an der im Urteil A-4013/2010 vertretenen Auffassung voll­um­fänglich fest­ge­halten. Im Einzelnen führte das Gericht aus, bei der Berechnung der «Kapitalgewinne» im Sinne des An­hangs zum Staatsvertrag 10 handle es sich um objektive Kriterien, die er­füllt sein müssten, damit Amtshilfe geleistet werden könne, und die bei ihrem Vorliegen im Sinne einer praesumptio iuris et de iure zur Leistung von Amtshilfe auch ausreichten. Allerdings könne die Anwendung des Staatsvertrags 10 in der Tat dazu führen, dass Daten von Personen zu übermitteln seien, die keine Steuerhinterziehung be­gangen haben und sich nach schweizerischer Lesart bloss einer Verletzung von Verfahrenspflichten schuldig ge­macht haben. Im Ergebnis sind im vorliegenden Fall somit sämtliche Kriterien der Kategorie 2/A/b erfüllt. Daher erübrigt es sich, die einzelnen Tatbestandsmerkmale der Ziff. 2/A/a gemäss Anhang zum Staatsvertrag 10 zu prüfen.</w:t>
      </w:r>
    </w:p>
    <w:p>
      <w:r>
        <w:rPr>
          <w:b/>
        </w:rPr>
        <w:t>E. 4.4</w:t>
      </w:r>
    </w:p>
    <w:p>
      <w:r>
        <w:t>Sodann rügt die Beschwerdeführerin die Unangemessenheit der Verfügung der ESTV im Sinne von Art. 49 Abs. 1 lit. b VwVG, da der Einkommensbetrag in der für die Besteuerung massgeblichen Zeit unbedeutend sei und aus diesem Grunde die Amtshilfeerteilung unverhältnismässig erscheine. Die Beschwerdeführerin habe ihre Steuerpflicht in den USA ordnungsgemäss erfüllt; bei Gewährung der Amtshilfe habe sie mit einem (unberechtigten) Verfahren wegen Steuerhinterziehung zu rechnen, was zu einem erheblichen Reputationsschaden führen könnte. Kategorie 2/A/b fixiert den Schwellenwert für jährliche Durchschnittseinkünfte auf 100'000.-- Franken. Insofern setzt der Staatsvertrag 10 eine klare Grenze und räumt der ESTV kein Ermessen ein. In Bezug auf das von der Beschwerdeführerin vorgebrachte Argument, sie habe im Falle eines unberechtigten Verfahrens vor den US-amerikanischen (Steuer-) Gerichten mit einem erheblichen Reputationsschaden zu rechnen, ist anzumerken, dass sie derartige Rügen allenfalls vor den zuständigen US-amerikanischen Gerichten vorzubringen haben wird.</w:t>
      </w:r>
    </w:p>
    <w:p>
      <w:r>
        <w:rPr>
          <w:b/>
        </w:rPr>
        <w:t>E. 5</w:t>
      </w:r>
    </w:p>
    <w:p>
      <w:r>
        <w:t>Nach dem Gesagten sind in Bezug auf die Beschwerdeführerin alle Voraus­setzungen gemäss Ziff. 1 Bst. A des Anhangs zum Staats­ver­trag 10 ge­geben, und es liegt ein begründeter Verdacht auf «fort­ge­setzte und schwere Steuerdelikte» gemäss Ziff. 2 Bst. A/b des Anhangs zum Staatsvertrag 10 vor, weshalb Amtshilfe zu gewähren ist. Die Beschwerde ist somit ab­­zuweisen.</w:t>
      </w:r>
    </w:p>
    <w:p>
      <w:r>
        <w:rPr>
          <w:b/>
        </w:rPr>
        <w:t>E. 6</w:t>
      </w:r>
    </w:p>
    <w:p>
      <w:r>
        <w:t>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mit dem geleisteten Kostenvorschuss von Fr. 20'000.-- zu verrechnen. Der Überschuss von Fr. 5'000.--wird der Beschwerdeführerin zurückerstattet. Eine Parteientschädigung ist nicht zuzusprechen (vgl. Art. 64 Abs. 1 VwVG e contrario und Art. 7 Abs. 1 VGKE e con­tra­rio sowie Art. 7 Abs. 3 VGKE).</w:t>
      </w:r>
    </w:p>
    <w:p>
      <w:r>
        <w:rPr>
          <w:b/>
        </w:rPr>
        <w:t>E. 7</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