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A-6410/2020 vom 23. Oktober 2023</w:t>
      </w:r>
    </w:p>
    <w:p>
      <w:r>
        <w:t>Bundesverwaltungsgericht, 2023-10-23, IT</w:t>
      </w:r>
    </w:p>
    <w:p>
      <w:r>
        <w:rPr>
          <w:b/>
        </w:rPr>
        <w:t xml:space="preserve">Quelle: </w:t>
      </w:r>
      <w:r>
        <w:t>https://mcp.opencaselaw.ch/entscheid/bvger_A-6410_2020</w:t>
      </w:r>
    </w:p>
    <w:p>
      <w:r>
        <w:t>FR: TAF A-6410/2020 du 23 octobre 2023</w:t>
      </w:r>
    </w:p>
    <w:p>
      <w:r>
        <w:t>IT: TAF A-6410/2020 del 23 ottobre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3.a.(3) di 2'587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Il ricorrente censura innanzitutto una grave violazione del suo diritto di essere sentito in correlazione con la motivazione della decisione impugnata (cfr. ricorso 17 dicembre 2020, punti n. 6-7, 26-27 e 32; replica del 10 settembre 2021, punti n. 2.1-2.3 e 2.5-2.8). A mente del ricorrente infatti, la decisione dell'autorità inferiore sarebbe troppo ampia e generalizzata, rivolgendosi essa a tutti i partecipanti del procedimento, così come a tutte le richieste di assistenza amministrativa presentate dall'Italia. L'AFC avrebbe infatti - a torto - raggruppato le domande di assistenza amministrativa, emanando una decisione di natura e struttura simile - ovvero collettiva - e questo nonostante le varie domande si fonderebbero su circostanze ben diverse. La decisione qui impugnata - così come la successiva risposta (cfr. risposta dell'11 agosto 2021) - nemmeno si confronterebbe con le osservazioni e le censure specifiche formulate del ricorrente, menzionando essa - a dire del ricorrente - il suo nominativo unicamente nel dispositivo decisionale, così come limitandosi a riepilogare i criteri generali applicabili in materia. Si tratterebbe di una « fotocopia di numerosissime altre » decisioni, che nemmeno si confronterebbe con la documentazione prodotta dal ricorrente (cfr. Docc. D-S). Nemmeno le ragioni di « asserito sufficiente sospetto di illecito fiscale che stanno alla base della domanda italiana » per quanto concerne il ricorrente nello specifico, sarebbero poi indicate. Ciò non gli permetterebbe di verificare il ragionamento che ha condotto l'autorità inferiore a emanare la decisione a lui indirizzata e qui impugnata. In sintesi, la decisione lederebbe il diritto a una motivazione sufficiente e individualizzata.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3.2.2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w:t>
      </w:r>
    </w:p>
    <w:p>
      <w:r>
        <w:rPr>
          <w:b/>
        </w:rPr>
        <w:t>E. 3.2.3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sentenza del TAF A-5662/2020 del 10 maggio 2021 consid. 1.5.2.3).</w:t>
      </w:r>
    </w:p>
    <w:p>
      <w:r>
        <w:rPr>
          <w:b/>
        </w:rPr>
        <w:t>E. 3.2.4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3.3</w:t>
      </w:r>
    </w:p>
    <w:p>
      <w:r>
        <w:t>In concreto, 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Per quanto qui necessario, il Tribunale osserva - analogamente a quanto ritenuto nell'ambito della causa A-5662/2020 - che se è vero che nella decisione impugnata l'autorità inferiore espone in maniera standardizzata, senza riferimento esplicito alla presa di posizione del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sentito.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 ricorrente con scritto 29 settembre 2020 - e replica del 20 settembre 2021 - non sono state da essa considerate come decisive. Nella fattispecie, tale è segnatamente il caso per gli argomenti che rispondono alle censure circa l'assenza di rilevanza verosimile e la violazione del divieto di « fishing expedition » (cfr. decisione impugnata, consid. 4), il mancato rispetto del principio di sussidiarietà e di buona fede (cfr. decisione impugnata, considd. 6-8), il domicilio del ricorrente e la pertinenza del codice domicilio italiano « 111 » (cfr. decisione impugnata, consid. 4.6), etc. In altri termini, da un esame della decisione impugnata, risulta che la stessa è sufficientemente motivata affinché il ricorrente possa comprenderne la portata e contestarla con cognizione di causa, così come richiesto dal diritto di essere sentito (cfr. consid. 3.2.1 del presente giudizio), ciò che peraltro egli ha fatto. Con ricorso 17 dicembre 2020 e successiva replica del 20 settembre 2021, il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w:t>
      </w:r>
    </w:p>
    <w:p>
      <w:r>
        <w:rPr>
          <w:b/>
        </w:rPr>
        <w:t>E. 3.4</w:t>
      </w:r>
    </w:p>
    <w:p>
      <w:r>
        <w:t>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3.2.4 del presente giudizio), dal momento che il ricorrente ha potuto esporre nuovamente le sue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17 novembre 2020 dell'autorità inferiore, con cui quest'ultima ha accolto la domanda collettiva del 10 luglio 2017 di assistenza amministrativa in materia fiscale inoltrata dall'autorità richiedente italiana, sulla base dell'art. 27 CDI CH-IT, per quanto concerne il qui ricorrente. In tale contesto, per il Tribunale si tratta essenzialmente di esaminare l'ammissibilità della predetta domanda, sia dal punto di vista formale che da quello materiale, alla luce delle puntuali censure sollevate dal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sentenza del TAF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sentenza del TAF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sentenza del TAF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sentenza del TAF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sentenza del TAF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sentenza del TAF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sentenza del TAF A-1296/2020 del 21 dicembre 2020 consid. 4.2.3.2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sentenza del TAF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sentenza del TAF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sentenza del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sentenza del TAF A-5662/2020 del 10 maggio 2021 consid. 2.8). Il rispetto della procedura interna nello Stato richiedente non significa che lo Stato richiesto debba verificare che in tale Stato la procedura si sia svolta in conformità alle disposizioni giuridiche applicabili (sentenza del TAF A-3830/2015 del 14 dicembre 2016 consid. 12). Una soluzione contraria sarebbe infatti inattuabile, in quanto le autorità elvetiche non dispongono delle competenze necessarie per esaminare nel dettaglio l'applicazione del diritto estero. Inoltre, la procedura di assistenza amministrativa non si pronuncia materialmente nel merito del caso, essendo l'oggetto della vertenza unicamente la questione di sapere se l'assistenza amministrativa debba o meno essere concessa alla luce dei principi giuridici e delle disposizioni legali applicabili (sentenze del TAF A-4025/2016 del 2 maggio 2017 consid. 3.2.6; A-6385/2012 del 6 giugno 2013 consid 2.2.1). Spetta quindi a ogni Stato interpretare la propria legislazione e controllarne la corretta applicazione. Eventuali questioni che sono di competenza dello Stato richiedente, come può essere il caso del termine di prescrizione applicabile ai crediti fiscali, devono essere sollevate - e se necessario esaminate - dalle autorità di tale Stato (cfr. sentenze del TF 2C_954/2015 del 13 febbraio 2017 consid. 5.5; 2C_527/2015 del 3 giugno 2016 consid. 5.7; sentenza del TAF A-4157/2016 del 15 marzo 2017 consid. 3.5.4; A-7143/2014 del 15 agosto 2016 consid. 13.1 e segg.). Ciò vale anche per le questioni di diritto processuale straniero (sentenze del TAF A-4157/2016 del 15 marzo 2017 consid. 3.5.4; A-7143/2014 del 15 agosto 2016 consid. 11; A-688/2015 del 22 febbraio 2016 consid. 9).</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sentenza del TAF 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3.a.(3) concernente 2'857 rapporti finanziari relativi a persone fisiche, identificate mediante il nominativo (cognome e nome) e l'indicazione del domicilio in Italia nel campo « MIS_Dom_Name », rispettivamente l'attribuzione di un codice domicilio « 111 » riferito all'Italia. A prescindere dal ben fondato del criterio del domicilio su cui si statuirà in un secondo momento (cfr. consid. 6.2 del presente giudizio),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Come per il periodo fiscale interessato (cfr. consid. 5.1.2 del presente giudizio),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esso indicato è corretto, salvo in presenza di errori manifesti, ciò che non è qui il caso.</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 tant'è che non è neppure contestata dal ricorrente.</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3.a.(3),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 ricorrente.</w:t>
      </w:r>
    </w:p>
    <w:p>
      <w:r>
        <w:rPr>
          <w:b/>
        </w:rPr>
        <w:t>E. 6.1</w:t>
      </w:r>
    </w:p>
    <w:p>
      <w:r>
        <w:t>A titolo preliminare, si rileva qui per l'insieme della presente sentenza, come il ricorrente sollevi nel corso del suo gravame - e nella successiva replica - le proprie censure spesso senza una motivazione specifica, ripetendo inoltre le medesime argomentazioni in differenti punti dei suoi scritti, anche laddove le stesse non sono necessariamente pertinenti. Per questo motivo, al fine di facilitare la trattazione delle varie censure - così come nell'ottica di esaminarle con ordine e coerenza - lo scrivente Tribunale le ha raggruppate, nei successivi considerandi, in funzione del principio giuridico - o argomento - al quale queste fanno riferimento.</w:t>
      </w:r>
    </w:p>
    <w:p>
      <w:r>
        <w:rPr>
          <w:b/>
        </w:rPr>
        <w:t>E. 6.2.1</w:t>
      </w:r>
    </w:p>
    <w:p>
      <w:r>
        <w:t>Innanzitutto, seppur in maniera non esplicita, il ricorrente sembrerebbe censurare - con riferimento alla domanda di assistenza amministrativa italiana del 10 luglio 2017 - la violazione del divieto di « fishing expedition » (cfr. ricorso 17 dicembre 2020, punti n. 32 e 34) . L'insorgente afferma infatti come la decisione da egli impugnata riassumerebbe - in maniera generica - le ragioni di asserito e sufficiente sospetto di evasione fiscale che stanno alla base della domanda italiana. Nel farlo, l'autorità non spiegherebbe tuttavia anche perché nei confronti del ricorrente - e quindi nel suo caso specifico - tale requisito risulterebbe essere adempiuto.</w:t>
      </w:r>
    </w:p>
    <w:p>
      <w:r>
        <w:rPr>
          <w:b/>
        </w:rPr>
        <w:t>E. 6.2.2</w:t>
      </w:r>
    </w:p>
    <w:p>
      <w:r>
        <w:t>Nel caso concreto, per il Tribunale si tratta essenzialmente di esaminare se la domanda di assistenza amministrativa italiana del 10 luglio 2017 - che per inciso è una domanda collettiva - adempie ai requisiti posti dalla giurisprudenza del Tribunale federale per la distinzione tra una domanda collettiva ammissibile e la fishing expedition, tenuto altresì conto delle puntuali censure del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consid. 4.3.3 del presente giudizio).</w:t>
      </w:r>
    </w:p>
    <w:p>
      <w:r>
        <w:rPr>
          <w:b/>
        </w:rPr>
        <w:t>E. 6.2.3</w:t>
      </w:r>
    </w:p>
    <w:p>
      <w:r>
        <w:t>A tal proposito, il Tribunale constata preliminarmente che la domanda descrive i fatti concreti alla sua base e contiene otto liste di numeri di conti bancari e/o di polizze assicurative, nonché altri numeri bancari riconducibili alla banca B._______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w:t>
      </w:r>
    </w:p>
    <w:p>
      <w:r>
        <w:rPr>
          <w:b/>
        </w:rPr>
        <w:t>E. 6.2.4</w:t>
      </w:r>
    </w:p>
    <w:p>
      <w:r>
        <w:t>Per quanto attiene più in particolare alla sussistenza di indizi sufficienti per ritenere che i contribuenti interessati appartenenti al gruppo non abbiano adempiuto ai loro obblighi, il Tribunale rileva invece quanto segue.</w:t>
      </w:r>
    </w:p>
    <w:p>
      <w:r>
        <w:rPr>
          <w:b/>
        </w:rPr>
        <w:t>E. 6.2.4.1</w:t>
      </w:r>
    </w:p>
    <w:p>
      <w:r>
        <w:t>In concreto, come già rilevato dal Tribunale (cfr. fatti, sub lett. A.b), la domanda indica che nell'ambito di verifiche e controlli fiscali la GdF ha constatato l'esistenza in Italia di una stabile organizzazione occulta della banca B._______, conclusosi con il versamento all'Erario italiano di una somma di circa 101 milioni di euro. Le società appartenenti al E._______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E._______ - per aver omesso di adottare ed efficacemente attuare modelli di organizzazione e gestione idonei ad evitare la commissione del reato di riciclaggio di fondi di provenienza delittuosa. Tale procedimento si è concluso con una sentenza di condanna, previo richiesta di patteggiamento, per il presupposto di riciclaggio di fondi di provenienza delittuosa, a seguito del quale la banca B._______ ha versato 8.5 milioni di euro all'Erario italiano. È in tale contesto che sono emerse le otto liste relative a 18'126 posizioni presso la banca B._______, aperte prevalentemente da soggetti italiani e ottenute mediante l'ausilio del « personale dell'Information Technology di E._______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consid. 4.3.3 del presente giudizio).</w:t>
      </w:r>
    </w:p>
    <w:p>
      <w:r>
        <w:rPr>
          <w:b/>
        </w:rPr>
        <w:t>E. 6.2.4.2</w:t>
      </w:r>
    </w:p>
    <w:p>
      <w:r>
        <w:t>Ciò premesso, se è vero che il comportamento della banca B._______ non è automaticamente ascrivibile ai suoi clienti e dunque alle persone figuranti sulle liste, vero è anche che non è neppure possibile escludere automaticamente un loro coinvolgimento perlomeno indiretto nella vicenda a livello fiscale. Nel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w:t>
      </w:r>
    </w:p>
    <w:p>
      <w:r>
        <w:rPr>
          <w:b/>
        </w:rPr>
        <w:t>E. 6.2.4.3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Ciò rilevato, nello specifico la domanda qui in esame è fondata sulla lista/sull'elenco sub 3.a.(3) di 2'587 posizioni finanziarie (rapporti finanziari), relative a persone fisiche, di cui si conosce il nominativo (nome e cognome) e alle quali è stato attribuito un domicilio italiano. Per questa lista, il criterio di assoggettamento fiscale in Italia è dunque rappresentato dal domicilio italiano. In tale contesto, la questione a sapere una lista che non individua le persone interessate con il criterio del domicilio, bensì con quello della nazionalità sia o meno idonea a fondare tale sospetto può rimanere qui aperta.</w:t>
      </w:r>
    </w:p>
    <w:p>
      <w:r>
        <w:rPr>
          <w:b/>
        </w:rPr>
        <w:t>E. 6.2.5</w:t>
      </w:r>
    </w:p>
    <w:p>
      <w:r>
        <w:t>Riguardo all'indicazione della legge fiscale, il Tribunale rileva che la domanda la indica in maniera sufficiente, così come già sancito in precedenza (cfr. consid. 6.2.3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Se è vero che dallo scambio di scritti tra autorità risulta che le due parti concordano sul fatto che solo una volta in possesso delle informazioni, la GdF potrà concretizzare il sospetto di evasione fiscale, vero è anche che per farlo ha bisogno di tali informazioni.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w:t>
      </w:r>
    </w:p>
    <w:p>
      <w:r>
        <w:rPr>
          <w:b/>
        </w:rPr>
        <w:t>E. 6.2.6</w:t>
      </w:r>
    </w:p>
    <w:p>
      <w:r>
        <w:t>In definitiva, si deve dunque ritenere come adempiuti i criteri posti dalla giurisprudenza del Tribunale federale, sicché la domanda di assistenza amministrativa italiana del 10 luglio 2017 non è qualificabile di fishing expedition. Come visto, la domanda fornisce una descrizione dettagliata del gruppo di contribuenti interessato e degli elementi sufficientemente concreti per sospettare che le persone che si trovano dietro le liste a cui viene attribuito un codice domicilio italiano - in casu, la lista sub 3.a.(3)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Ne consegue che le censure del ricorrente vanno qui respinte.</w:t>
      </w:r>
    </w:p>
    <w:p>
      <w:r>
        <w:rPr>
          <w:b/>
        </w:rPr>
        <w:t>E. 6.3.1</w:t>
      </w:r>
    </w:p>
    <w:p>
      <w:r>
        <w:t>Il ricorrente censura successivamente l'assenza di rilevanza verosimile delle informazioni oggetto della domanda di assistenza amministrativa italiana del 10 luglio 2017 per i motivi seguenti (cfr. ricorso 17 dicembre 2020, punti n. 9-22; replica del 20 settembre 2021, punti n. 2.3-2.5). A suo dire, egli risiederebbe in Svizzera già dal 27 aprile 2012 - ben prima quindi dell'inizio del periodo rilevante - luogo dove sarebbe illimitatamente imponibile. Tale aspetto sarebbe a suo dire pacifico, così come dimostrato dalla numerosa documentazione versata agli atti (cfr. Docc. D-S). In tal senso, sarebbe dunque escluso che le informazioni richieste e relative al conto a lui intestato potrebbero essere d'interesse per l'autorità estera. La relazione bancaria sarebbe infatti sempre stata dichiarata al fisco elvetico, così come l'insorgente in passato avrebbe « scudato » il patrimonio detenuto in tale relazione, dichiarandolo volontariamente all'erario italiano. I dati non sarebbero dunque il alcun modo pertinenti e nemmeno utili per esaminare « una corretta imposizione che avviene già in Svizzera ». La presenza del nominativo del ricorrente sulla lista - in casu, la lista sub. 3.a.(3) - sarebbe dunque da considerarsi come un errore. A mente del ricorrente, l'AFC avrebbe anche affermato che « siccome il signor A._______ risiede in Svizzera dal 2012 allora l'apertura del conto in questione risale a prima di tale data, è stato corretto indicarlo con un "codice di domicilio Italia" ». Tale ragionamento, a mente dell'insorgente non sarebbe « persuasivo » e al contrario dovrebbe essere « criticato con fermezza ». A suo dire infatti, l'autorità estera richiederebbe i dati unicamente per il periodo compreso tra il 23 febbraio 2015 e il 31 dicembre 2017, allora che egli sarebbe domiciliato in Svizzera (paese richiesto) già dal 2012, luogo dove sarebbe illimitatamente imposto e dove il suo patrimonio sarebbe dichiarato dal 2016. Ammettendo la richiesta di trasmissione di informazioni, l'autorità inferiore avrebbe deciso - a dire del ricorrente - « ultra petita », andando così oltre quanto richiesto dal principio « favor rogatoriae ».</w:t>
      </w:r>
    </w:p>
    <w:p>
      <w:r>
        <w:rPr>
          <w:b/>
        </w:rPr>
        <w:t>E. 6.3.2</w:t>
      </w:r>
    </w:p>
    <w:p>
      <w:r>
        <w:t>Nel caso concreto, per il Tribunale si tratta in sostanza di stabilire se, tenuto conto degli elementi relativi all'assenza di un domicilio in Italia - così come invocati dal ricorrente in concreto - viene meno la rilevanza verosimile, segnatamente del codice domicilio italiano e delle liste allegate alla domanda di assistenza amministrativa italiana del 10 luglio 2017 che fanno appello a tale criterio.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il Tribunale rileva che, come visto (cfr. consid. 6.2.4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il qui ricorrente figuri con un codice di domicilio italiano « 111 » nella lista sub. 3.a.(3)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sentenza del TAF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w:t>
      </w:r>
    </w:p>
    <w:p>
      <w:r>
        <w:rPr>
          <w:b/>
        </w:rPr>
        <w:t>E. 6.3.3</w:t>
      </w:r>
    </w:p>
    <w:p>
      <w:r>
        <w:t>Ciò sancito, la questione a sapere se il criterio del domicilio concorra con un criterio d'assoggettamento fiscale dello Stato richiesto in cui il ricorrente sostiene di essere stato domiciliato fiscalmente già ben prima dell'inizio del periodo rilevante non deve invece essere esaminata dal Tribunale. Come già esposto al consid. 4.8 del presente giudizio,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In presenza di un conflitto di residenza, la Svizzera può unicamente - ed eccezionalmente -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allorquando riceve una domanda di assistenza (cfr. [tra le tante] sentenza del TAF A-5662/2020 del 10 maggio 2021 consid. 5.1.3; parimenti consid. 4.8 del presente giudizio).</w:t>
      </w:r>
    </w:p>
    <w:p>
      <w:r>
        <w:rPr>
          <w:b/>
        </w:rPr>
        <w:t>E. 6.3.4</w:t>
      </w:r>
    </w:p>
    <w:p>
      <w:r>
        <w:t>Visto quanto precede, le censure sollevate dal ricorrente circa l'assenza di un domicilio nel paese richiedente non sono tali da inficiare la validità del criterio del codice domicilio italiano e la rilevanza verosimile delle informazioni richieste dall'autorità richiedente italiana, sicché le stesse vanno qui respinte. In merito all'interrogatorio della parte ricorrente - come da essa postulato (cfr. ricorso 17 dicembre 2020, punti n. 12 e 20) - lo scrivente Tribunale rileva come l'assunzione di tale ulteriore mezzo probatorio - visto quanto finora detto - non sia necessario, sicché anche tale richiesta è dunque respinta.</w:t>
      </w:r>
    </w:p>
    <w:p>
      <w:r>
        <w:rPr>
          <w:b/>
        </w:rPr>
        <w:t>E. 6.4.1</w:t>
      </w:r>
    </w:p>
    <w:p>
      <w:r>
        <w:t>Infine, il ricorrente solleva una violazione del principio della sussidiarietà (cfr. ricorso 17 dicembre 2020, punti n. 9-20) e di quello della buona fede (cfr. ricorso 17 dicembre 2020, punti n. 9-20, 22 e 29; replica del 20 settembre 2021, punto n. 2.4). Egli ritiene infatti come non dimostrato il fatto che l'autorità richiedente italiana abbia esaurito le fonti abituali di informazione previste dalla sua procedura fiscale interna prima di ricorrere all'assistenza amministrativa. Infatti, a dire del ricorrente, il suo nominativo e il suo domicilio sarebbero già stati noti all'autorità richiedente italiana - come anche menzionato dalla domanda stessa - al momento della formulazione della richiesta di assistenza. Le autorità elvetiche nemmeno avrebbero dubitato - a torto, allora che vi era motivo di farlo - circa la veracità delle affermazione dell'autorità estera secondo la quale essa avrebbe esaurito « tutte le conseguente fonti di informazione previste dalla procedure fiscali interne ». Anche l'affermazione secondo la quale - a dire del ricorrente - l'autorità inferiore avrebbe affermato che « non è pregiudizievole ai fini della prevista trasmissione che non si sia a conoscenza a quali anni risalgono le liste (...) » non sarebbe ammissibile. A mente dell'insorgente, egli non comprenderebbe infatti come l'autorità estera non potrebbe disporre dei dati relativi a una persona di cui conosce le generalità e l'indirizzo. In tal senso, egli non si spiegherebbe il motivo per il quale l'autorità estera, al fine di verificare la sua situazione fiscale, non abbia interrogato le abituali anagrafi e si sia al contrario rivolta alle autorità dello Stato richiesto. In tal senso, non avendo lo Stato estero esaurito le sue abituali risorse investigative interne prima di avanzare la domanda di assistenza amministrativa, difetterebbe nel caso in esame il requisito di sussidiarietà dell'assistenza internazionale in materia fiscale. Avendo poi il ricorrente - a suo dire - lasciato l'Italia già nel 2012 (cfr. consid. 6.2.1 del presente giudizio), non si potrebbe nemmeno ipotizzare un'eventuale esistenza - o sussistenza - di un suo obbligo contributivo verso l'erario italiano. A suo dire, anche eventuali - ma contestati - illeciti tributari - ovvero una violazione degli art. da 2 a 10 del Decreto legislativo italiano (Dlgs) 10 marzo 2000, n. 74 sui reati tributari - sarebbero comunque prescritti per effetto dell'art. 157 del Codice penale italiano e dell'art. 17 del citato Dlgs. Eventuali atti interruttivi della prescrizione, che quindi l'avrebbero - a dire del ricorrente - allungata di 1/3, non risulterebbero aver mai avuto luogo. In caso contrario, ciò comproverebbe l'esistenza di « atti di indagine fiscale italiana mirati contro il qui » ricorrente, ciò che sarebbe contraddittorio con la necessità per lo Stato estero di ottenere informazioni dalle autorità svizzere e questo in quanto le abituali fonti interne non sarebbero state esaurite, bensì attivate.</w:t>
      </w:r>
    </w:p>
    <w:p>
      <w:r>
        <w:rPr>
          <w:b/>
        </w:rPr>
        <w:t>E. 6.4.2</w:t>
      </w:r>
    </w:p>
    <w:p>
      <w:r>
        <w:t>Al riguardo, il Tribunale osserva come nella domanda di assistenza amministrativa italiana del 10 luglio 2017, l'autorità richiedente italiana abbia precisato di avere esaurito tutte le fonti interne abituali d'informazione (« [...] sono state esaurite le fonti d'informazione usuali previste dalla procedura fiscale interna [...] »). Interpellata al riguardo dall'AFC in data 27 marzo 2018, tale evenienza è stata ribadita dalla GdF anche successivamente, con scritto 8 novembre 2018 (cfr. atto n. 4 dell'inc. AFC; « [...] As already specified, for all the positions requested, we have in advance exhausted all the possibilities available in our national system [...] », «[...] We preliminarily reiterate that the lists attached to the assistance request made to the Swiss authorities only report financial positions for which we were unable to proceed to their unequivocal identification by employing all the tools available to the national tax administration [...] », ecc.). Ora, da un esame della domanda, tali dichiarazioni appaiono plausibili. In effetti, risulta che la GdF non si è semplicemente basata sui dati acquisiti presso la banca nell'ambito dell'inchiesta penale e dei controlli fiscali, relativi alle 18'126 posizioni. Di fatto, prima di inoltrare la propria domanda, l'autorità richiedente italiana ha infatti rielaborato queste 18'126 posizioni con tutti i mezzi interni d'indagine («[...] con l'ausilio delle banche dati a disposizione dell'Amministrazione finanziaria italiana e di tutti gli altri mezzi d'indagine disponibili sul territorio nazionale nonché le specifiche attività di analisi finalizzate ad aggregare i dati [...] »). In tal modo, essa ha individuato i contribuenti italiani in relazione a 3'297 posizioni per le quali le indagini sono già state completate o sono ancora in corso a livello nazionale, rispettivamente 2'441 posizioni relative ai clienti italiani che molto probabilmente si sono avvalsi dei servizi degli intermediari operanti in Italia, esclusi dunque dalla domanda d'informazioni. Per le 9'953 posizioni, «[...] utilizzando le consuete fonti d'informazione previste dalla procedura fiscale interna [...] », essa non è invece riuscita ad «[...] identificare compiutamente ed inequivocabilmente i titolari e/o beneficiari effettivi [...] », sicché è per quest'ultime ch'essa necessita della cooperazione della Svizzera. Ne discende che di queste 18'126 posizioni solo 9'953 posizioni sono interessate dalla domanda in oggetto, sicché si deve ritenere che i controlli interni effettuati dalla GdF le hanno permesso di escludere circa il 45% delle posizioni figuranti nelle otto liste. Benché la domanda non indichi in dettaglio quali siano le fonti abituali previste dal diritto fiscale italiano che l'autorità richiedente italiana avrebbe esaurito per individuare queste 9'953 posizioni, nulla permette di dubitare della veridicità delle sue dichiarazioni e ritenere che di fatto essa avrebbe violato in qualche modo il principio della sussidiarietà. Agli atti non vi sono infatti indizi che lascino trasparire lacune o contraddizioni palesi nelle dichiarazioni della GdF, sicché - in virtù del principio dell'affidamento - le stesse vanno ritenute come sufficienti a comprovare il rispetto del principio della sussidiarietà (cfr. sentenza del TAF A-2980/2019 del 20 maggio 2020 consid. 5.5.2). Del resto, non va dimenticato che una verifica esaustiva del rispetto di tale principio da parte dello Stato richiesto è difficilmente attuabile, sicché lo stesso è limitato nel suo esame. Ora, il fatto che l'autorità inferiore - quale autorità richiesta - abbia in un primo tempo chiesto dei ragguagli al riguardo all'autorità richiedente italiana non significa automaticamente che la stessa abbia ritenuto una violazione del principio della sussidiarietà, tant'è che nella decisione impugnata non l'ha rilevata a giusto titolo (cfr. decisione impugnata, consid. 7). Se da un lato non si può escludere che la GdF abbia effettuato tale controllo, d'altra parte quand'anche non l'avesse effettuato tale evenienza non sarebbe sufficiente per ritenere la GdF abbia violato il principio della sussidiarietà. Nulla impedisce all'autorità richiedente italiana di verificare la veridicità delle informazioni in suo possesso - segnatamente la sussistenza di un domicilio italiano - attivando il canale dell'assistenza amministrativa in materia fiscale. Ora, è proprio per completare le informazioni in suo possesso, ch'essa ha chiesto delle informazioni alla Svizzera. A titolo abbondanziale, il Tribunale sottolinea che anche se l'autorità richiedente italiana conosce il nome della persona interessata, può essere certa della completezza delle informazioni dichiarate da questa persona solo attraverso una richiesta di assistenza amministrativa in materia fiscale internazionale. In caso contrario, essa non è in grado di determinare se il suo contribuente abbia o meno dichiarato correttamente tutti i suoi redditi. La censura relativa alla violazione del principio di sussidiarietà è dunque respinta.</w:t>
      </w:r>
    </w:p>
    <w:p>
      <w:r>
        <w:rPr>
          <w:b/>
        </w:rPr>
        <w:t>E. 6.4.3</w:t>
      </w:r>
    </w:p>
    <w:p>
      <w:r>
        <w:t>Con riferimento alla violazione del principio della buona fede, questo Tribunale rileva che come anche esposto al consid. 4.4 del presente giudizio,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Nel caso contrario, il principio dell'affidamento non si oppone a una domanda di chiarimento allo Stato richiesto; il rovesciamento della presunzione della buona fede di uno Stato dovendosi in ogni caso fondare su fatti constatati e concreti.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Ora, contrariamente a quanto sostenuto dal ricorrente non vi sono elementi agli atti in grado di far dubitare della correttezza delle informazioni fornite dall'autorità estera, sicché anche la censura relativa alla violazione del principio di buona fede è dunque da respingere.</w:t>
      </w:r>
    </w:p>
    <w:p>
      <w:r>
        <w:rPr>
          <w:b/>
        </w:rPr>
        <w:t>E. 6.4.4</w:t>
      </w:r>
    </w:p>
    <w:p>
      <w:r>
        <w:t>Infine, per quanto concerne la censura relativa all'assenza di illeciti tributari - contestati ma che nel caso sarebbero da considerarsi prescritti - si rileva come tale questione non debba essere analizzata dallo Stato richiesto nell'ambito della procedura di assistenza amministrativa fiscale internazionale. Analogamente a quanto indicato al consid. 4.7 del presente giudizio, lo Stato richiesto non dispone infatti delle competenze necessarie per verificare nel dettaglio la corretta applicazione del diritto estero. Si tratta infatti di questioni di diritto materiale, che deve essere - se caso - sollevata dinanzi alle competenti autorità estere e non deve essere trattate dalle autorità elvetiche a livello dell'assistenza amministrativa. In tal senso, lo scrivente Tribunale non può dunque escludere che le informazioni richieste dall'autorità estera, sebbene le censure del qui ricorrente, appaiano comunque rilevanti ai fini della procedura nel paese richiedente. Anche tale censura è dunque respinta.</w:t>
      </w:r>
    </w:p>
    <w:p>
      <w:r>
        <w:rPr>
          <w:b/>
        </w:rPr>
        <w:t>E. 6.5</w:t>
      </w:r>
    </w:p>
    <w:p>
      <w:r>
        <w:t>In conclusione, alla luce dei considerandi che precedono, si deve ritenere che la domanda collettiva di assistenza amministrativa italiana del 10 luglio 2017, qui fondata sulla lista/sull'elenco sub 3.a.(3), soddisfa tutti i requisiti materiali alla base della sua ammissibilità, sicché risulta qui ammissibile anche dal profilo materiale.</w:t>
      </w:r>
    </w:p>
    <w:p>
      <w:r>
        <w:rPr>
          <w:b/>
        </w:rPr>
        <w:t>E. 7</w:t>
      </w:r>
    </w:p>
    <w:p>
      <w:r>
        <w:t>In definitiva, alla luce di quanto precede, il ricorso del ricorrente va quindi integralmente respinto.</w:t>
      </w:r>
    </w:p>
    <w:p>
      <w:r>
        <w:rPr>
          <w:b/>
        </w:rPr>
        <w:t>E. 8</w:t>
      </w:r>
    </w:p>
    <w:p>
      <w:r>
        <w:t>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versato a suo tempo, alla crescita in giudicato del presente giudizio. Non vi sono poi i presupposti per l'assegnazione al ricorrente di un'indennità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