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A-6409/2020 vom 11. Januar 2022</w:t>
      </w:r>
    </w:p>
    <w:p>
      <w:r>
        <w:t>Bundesverwaltungsgericht, 2022-01-11, FR</w:t>
      </w:r>
    </w:p>
    <w:p>
      <w:r>
        <w:rPr>
          <w:b/>
        </w:rPr>
        <w:t xml:space="preserve">Quelle: </w:t>
      </w:r>
      <w:r>
        <w:t>https://mcp.opencaselaw.ch/entscheid/bvger_A-6409_2020</w:t>
      </w:r>
    </w:p>
    <w:p>
      <w:r>
        <w:t>FR: TAF A-6409/2020 du 11 janvier 2022</w:t>
      </w:r>
    </w:p>
    <w:p>
      <w:r>
        <w:t>IT: TAF A-6409/2020 del 11 gennaio 2022</w:t>
      </w:r>
    </w:p>
    <w:p>
      <w:pPr>
        <w:pStyle w:val="Heading2"/>
      </w:pPr>
      <w:r>
        <w:t>Regeste</w:t>
      </w:r>
    </w:p>
    <w:p>
      <w:r>
        <w:t>Assistance administrative</w:t>
      </w:r>
    </w:p>
    <w:p>
      <w:pPr>
        <w:pStyle w:val="Heading2"/>
      </w:pPr>
      <w:r>
        <w:t>Erwägungen</w:t>
      </w:r>
    </w:p>
    <w:p>
      <w:r>
        <w:rPr>
          <w:b/>
        </w:rPr>
        <w:t>E. 1</w:t>
      </w:r>
    </w:p>
    <w:p>
      <w:r>
        <w:t>Information regarding the identification and opening of the account, including account opening documents (including IRS forms), signature cards, and entity organizational documents such as articles of incorporation or other records demonstrating beneficial ownership;</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la recourante est la successeure en droit de la personne concernée destinataire de la décision du 17 novembre 2020,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 2. 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 / Beusch / Kneubühler, Prozessieren vor dem Bundesverwaltungsgericht, 2e éd., 2013, n°2.149 ; Häfelin / Müller / Uhlmann, Allgemeines Verwaltungsrecht, 7e éd., 2016, n°1146 ss).</w:t>
      </w:r>
    </w:p>
    <w:p>
      <w:r>
        <w:rPr>
          <w:b/>
        </w:rPr>
        <w:t>E. 2</w:t>
      </w:r>
    </w:p>
    <w:p>
      <w:r>
        <w:t>Account statements (including asset statements) and income statements prepared by the Bank;</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la recourante se plaint que dans la mesure où l'art. 18a LAAF, qui permet d'exécuter l'assistance administrative concernant des personnes décédées par l'intermédiaire de leurs successeurs en droit, serait entré en vigueur le (...) 2019 sans effet rétroactif, les renseignements relatifs à la période du (...) 2005 au (...) 2012 ne pourraient pas être transmis en application de cette disposition. Par ailleurs, la recourante se plaint qu'elle n'aurait pas été en mesure de pouvoir rencontrer ou communiquer directement avec son mandataire en raison de la pandémie liée au Covid-19 et des restrictions sanitaires empêchant l'entrée aux Etats-Unis de voyageurs en provenance de la Suisse. Pour cette raison, en rendant une décision finale sans attendre que les circonstances permettent Maître Vodoz d'entrer en contact avec sa mandante, l'AFC aurait violé le droit d'être entendue de cette dernière. Enfin, selon la recourante dans la mesure où elle n'aurait pas la nationalité américaine et aurait été domiciliée en Israël lorsque le compte bancaire, objet de la présente procédure, aurait été clôturé, l'AFC devrait caviarder toute référence directe ou indirecte à sa personne dans la documentation dont la transmission est envisagée.</w:t>
      </w:r>
    </w:p>
    <w:p>
      <w:r>
        <w:rPr>
          <w:b/>
        </w:rPr>
        <w:t>E. 2.3</w:t>
      </w:r>
    </w:p>
    <w:p>
      <w:r>
        <w:t>Le Tribunal examinera d'abord la question du droit applicable ratione temporis à la demande d'assistance administrative (consid. 3 infra). Il passera ensuite à l'examen du grief relatif à la prétendue violation du droit d'être entendu (consid. 4 infra). Le grief relatif au caviardage des informations relatives à la recourante sera finalement abordé en lien avec le principe de la spécialité (5 et 6 infra). 3. L'assistance administrative avec les Etats-Unis est actuellement régie par la CDI CH-US du 2 octobre 1996 ; par son protocole du même jour en vigueur depuis le 19 décembre 1997 (ci-après : Protocole additionnel, RO 1999 1460 ; FF 1997 II 977) ; son protocole du 23 septembre 2009 en vigueur depuis le 20 septembre 2019 (ci-après : Protocole additionnel 2, RO 2019 3145 3143 ; FF 2010 217), et l'Echange de notes du 23 septembre 2009.</w:t>
      </w:r>
    </w:p>
    <w:p>
      <w:r>
        <w:rPr>
          <w:b/>
        </w:rPr>
        <w:t>E. 3</w:t>
      </w:r>
    </w:p>
    <w:p>
      <w:r>
        <w:t>Information regarding transactions pertaining to the account, including bank drafts, certified checks, cashier's checks, money orders, deposit slips, incoming and outgoing wire transfer documents to include information revealing the source and destination of all such transfers, and all other deposit or withdrawal documents for such transactions (if providing all such information would be unduly burdensome to the bank, only documents with respect to transactions in amounts exceeding $1,000 are required);</w:t>
      </w:r>
    </w:p>
    <w:p>
      <w:r>
        <w:rPr>
          <w:b/>
        </w:rPr>
        <w:t>E. 3.1</w:t>
      </w:r>
    </w:p>
    <w:p>
      <w:r>
        <w:t>La Convention s'applique notamment à l'impôt sur le revenu (art. 2 CDI CH-US). Selon la jurisprudence, la « backup withholding tax », un impôt à la source prélevé en de garantie sur les dividendes, les intérêts et les revenus tirés de divers actes de vente ou de remboursement, rentre dans le champs d'application de cette disposition (cf. ATF 139 II 404 consid. 9.2 ; arrêts du TAF A-5082/2018, A-5047/2018, A-5048/2018 tous du du 22 mai 2019 consid. 2.1 ; A-4218/2017 du 28 mai 2018 consid. 2.1). Pour cet impôt, la Convention et le Protocol additionnel sont généralement applicables pour les périodes fiscales commençant dès le 1er janvier 1998 (art. 29 par. 2 let. b CDI CH-US). Le Protocole additionnel 2 est applicable aux demandes déposées à partir du 20 septembre 2019 (art. 5 al. 2 let. b du Protocole additionnel 2).</w:t>
      </w:r>
    </w:p>
    <w:p>
      <w:r>
        <w:rPr>
          <w:b/>
        </w:rPr>
        <w:t>E. 3.2</w:t>
      </w:r>
    </w:p>
    <w:p>
      <w:r>
        <w:t>Selon la jurisprudence, les dispositions qui régissent l'assistance administrative, par exemple celles qui prévoient le contenu de la demande d'assistance, sont par nature procédurales (arrêt du TF 2C_880/2020 du 15 juin 2021 consid. 4.1 ss). Les conventions de double imposition posent des règles qui fixent les exigences matérielles de cette procédure, alors que le droit interne sert à en concrétiser l'exécution en Suisse (ATF 143 II 628 consid. 4.3 ; cf. aussi ATF 146 II 150 consid. 5.4 ; 139 II 404 consid. 1.1). Les dispositions régissant l'assistance administrative qui figurent dans les CDI fixent des règles de procédure qui, partant et sauf disposition contraire, sont d'application immédiate, peu importe que les périodes fiscales visées par les demandes soient antérieures à l'entrée en vigueur des règles de procédure. A cet égard, il ne faut pas confondre l'applicabilité immédiate des règles procédurales régissant la demande d'assistance administrative fixées dans une CDI, avec la question des périodes fiscales visées par ladite demande. Les règles de procédure nouvelles de la CDI s'appliquent aussi lorsque les demandes portent sur des périodes fiscales antérieures à leur entrée en vigueur (ATF 143 II 628 consid. 4.3 et les nombreuses références ; cf. aussi ATF 146 II 150 consid. 5.4). Les Etats peuvent toutefois prévoir des limites aux périodes fiscales susceptibles d'être visées par une demande d'assistance administrative et il est fréquemment stipulé dans les CDI les périodes fiscales à partir desquelles les demandes d'assistance administrative peuvent porter (ATF 143 II 628 consid. 4.3 et les références ; cf. aussi ATF 146 II 150 consid. 5.4).</w:t>
      </w:r>
    </w:p>
    <w:p>
      <w:r>
        <w:rPr>
          <w:b/>
        </w:rPr>
        <w:t>E. 3.3</w:t>
      </w:r>
    </w:p>
    <w:p>
      <w:r>
        <w:t>En l'espèce, la présente demande d'assistance administrative est datée du (...) 2020 et porte sur la période fiscale du (...) 2005 au (...) 2012. Dès lors, la Convention, les deux Protocole additionnels et l'Echange de lettre sont applicables dans la présente procédure.</w:t>
      </w:r>
    </w:p>
    <w:p>
      <w:r>
        <w:rPr>
          <w:b/>
        </w:rPr>
        <w:t>E. 3.4</w:t>
      </w:r>
    </w:p>
    <w:p>
      <w:r>
        <w:t>La recourante se plaint que dans la mesure où l'art. 18a LAAF, qui permet d'exécutée l'assistance administrative concernant des personnes décédées par l'intermédiaire de leurs successeurs en droit, serait entré en vigueur le 1er novembre 2019 sans effet rétroactif, les renseignements relatifs à la période du (...) 2005 au (...) 2012 ne pourraient pas être transmis en application de cette disposition,</w:t>
      </w:r>
    </w:p>
    <w:p>
      <w:r>
        <w:rPr>
          <w:b/>
        </w:rPr>
        <w:t>E. 3.5</w:t>
      </w:r>
    </w:p>
    <w:p>
      <w:r>
        <w:t>Selon l'art. 18a LAAF, l'assistance administrative peut être exécutée concernant des personnes décédées. Leurs successeurs en droit se voient conférer le statut de partie. Cette disposition, introduite par le ch. I de la Loi fédérale du 21 juin 2019 sur la mise en oeuvre des recommandations du Forum mondial sur la transparence et l'échange de renseignements à des fins fiscales, est entrée en vigueur le 1er novembre 2019 (RO 2019 3161). En l'absence de disposition transitoire particulière et dans la mesure où comme expliqué ci-dessus, les dispositions qui régissent l'assistance administrative sont par nature procédurales, celles-ci sont sauf disposition contraire d'application immédiate, peu importe que les périodes fiscales visées par les demandes soient antérieures à l'entrée en vigueur des règles de procédure (cf. supra consid. 3.2 ; voir aussi arrêt du TAF A-5579/2020 du 23 août 2021 consid. 9 ss). Ainsi, le Tribunal retient que l'art. 18a LAAF est applicable à la transmission de renseignements pour la période du (...) 2005 au (...) 2012. Partant, le grief de la recourante doit être rejeté sur ce point. 4. 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4</w:t>
      </w:r>
    </w:p>
    <w:p>
      <w:r>
        <w:t>Correspondence and communications regarding the account;</w:t>
      </w:r>
    </w:p>
    <w:p>
      <w:r>
        <w:rPr>
          <w:b/>
        </w:rPr>
        <w:t>E. 4.1</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4.2</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en principe être informées de la demande d'assistance administrative après son dépôt.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4.3</w:t>
      </w:r>
    </w:p>
    <w:p>
      <w:r>
        <w:t>Selon la recourante, celle-ci n'aurait pas été en mesure de pouvoir rencontrer ou communiquer directement avec son mandataire en raison de la pandémie liée au Covid-19 et des restrictions sanitaires empêchant l'entrée aux Etats-Unis de voyageurs en provenance de la Suisse. Pour cette raison, la recourante se plaint qu'en rendant une décision finale sans attendre que les circonstances permettent Maître Vodoz d'entrer en contact avec sa mandante, l'AFC aurait violé son droit d'être entendue.</w:t>
      </w:r>
    </w:p>
    <w:p>
      <w:r>
        <w:rPr>
          <w:b/>
        </w:rPr>
        <w:t>E. 4.4</w:t>
      </w:r>
    </w:p>
    <w:p>
      <w:r>
        <w:t>En l'espèce, la recourante été informée de l'ouverture de la procédure d'assistance administrative par la banque conformément à l'art. 14 LAAF. Il apparait également que la recourante a ensuite requis la consultation des pièces du dossier en date du 19 mai 2020. Par courrier du 7 juillet 2020 à Maître Vodoz, l'AFC a indiqué les informations qu'elle prévoyait de transmettre à l'autorité fiscale américaine accompagnées des documents utiles à la consultation du dossier, conformément à art. 15 LAAF (arrêt du TF 2C_112/2015 du 27 août 2015 consid. 4.4). Par courrier du 14 août 2020, soit dans un délai prolongé trois fois à la demande de la recourante, Maître Vodoz a transmis ses observations en s'opposant, au nom de sa mandante, à tout envoi d'informations à l'autorités fiscale américaine. La recourante a ensuite eu l'opportunité de prendre position sur les nouveaux caviardages effectués par l'AFC (courrier du 15 septembre 2020 de l'AFC à la recourante), ce qu'elle n'a pas fait. Au vu de ces éléments, il apparait que la recourante a eu pleinement l'opportunité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 Au surplus, quant aux faits allégués selon lesquels la recourante seraient âgée de (...) ans et n'aurait pas eu de contact direct avec son mandataire en raisons de problèmes de santé et de restrictions sanitaires, le Tribunal note que ces questions relèvent de l'organisation du mandat entre la recourante et son mandataire. Ces éléments ne remettent pas en cause les actes effectués dans la présente procédure par ledit mandataire au bénéfice d'une procuration justifiant de ses pouvoirs. Pour ces raisons, le Tribunal ne retient pas de violation du droit d'être entendue de la recourante. 5. Selon la jurisprudence, lorsque les renseignements demandés portent non seulement sur des personnes concernées au sens de l'art. 4 al. 3 LAAF, mais aussi sur des tiers non impliqués, il appartient à l'autorité saisie de procéder à une pesée des intérêts (cf. art. 5 al. 2 Cst). Cela signifie que l'Etat requis doit supprimer les indications relatives aux tiers non concernés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Les tiers dont les noms apparaissent sur de tels documents sont au demeurant protégés par le principe de spécialité (cf. consid. 6 infra). A la clôture de la procédure, l'autorité requise doit en effet rappeler à l'autorité requérante les restrictions à l'utilisation des renseignements transmis et l'obligation de maintenir le secret (ATF 142 II 161 consid. 4.6.1 et les références citées).</w:t>
      </w:r>
    </w:p>
    <w:p>
      <w:r>
        <w:rPr>
          <w:b/>
        </w:rPr>
        <w:t>E. 5</w:t>
      </w:r>
    </w:p>
    <w:p>
      <w:r>
        <w:t>Internal management information system data related to the account;</w:t>
      </w:r>
    </w:p>
    <w:p>
      <w:r>
        <w:rPr>
          <w:b/>
        </w:rPr>
        <w:t>E. 5.1</w:t>
      </w:r>
    </w:p>
    <w:p>
      <w:r>
        <w:t>Au surplus,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TAF A-2523/2015 du 9 avril 2018 consid. 4.6.4 et 4.6.7 ainsi que l'arrêt du TAF A-907/2017 du 14 novembre 2017 consid. 4.2).</w:t>
      </w:r>
    </w:p>
    <w:p>
      <w:r>
        <w:rPr>
          <w:b/>
        </w:rPr>
        <w:t>E. 5.2</w:t>
      </w:r>
    </w:p>
    <w:p>
      <w:r>
        <w:t>La recourante se plaint que dans la mesure où elle n'aurait pas la nationalité américaine et aurait été domiciliée en Israël lorsque le compte bancaire objet de la présente procédure aurait été clôturé, l'AFC devrait caviarder toute référence directe ou indirecte à sa personne dans la documentation dont la transmission est envisagée.</w:t>
      </w:r>
    </w:p>
    <w:p>
      <w:r>
        <w:rPr>
          <w:b/>
        </w:rPr>
        <w:t>E. 5.3</w:t>
      </w:r>
    </w:p>
    <w:p>
      <w:r>
        <w:t>En l'espèce, il apparait que la recourante était bénéficiaire économique et administratrice de la société titulaire du compte concerné, sur lequel elle disposait d'un droit de signature individuel (...). Dès lors, les informations relatives à la recourante, dont la transmission est envisagée, fait partie du complexe de fait de la constellation fiscale que l'autorité requérante cherche à éclaircir. Le Tribunal retient ainsi que la transmission de ces informations respecte le principe de proportionnalité (art. 5 al. 2 Cst). Partant, le grief de la recourante est rejeté sur ce point. Par ailleurs, le Tribunal relève que les tiers dont les noms apparaissent sur de tels documents sont protégés par le principe de spécialité. A la clôture de la procédure, l'autorité requise doit en effet rappeler à l'autorité requérante les restrictions à l'utilisation des renseignements transmis et l'obligation de maintenir le secret (cf. consid. 6 infra). 6. 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2C_537/2020 du 13 juillet 2020 consid. 3.4 [destiné à la publication]).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et A-5066/2016 du 17 mai 2018 consid. 2.6).</w:t>
      </w:r>
    </w:p>
    <w:p>
      <w:r>
        <w:rPr>
          <w:b/>
        </w:rPr>
        <w:t>E. 6</w:t>
      </w:r>
    </w:p>
    <w:p>
      <w:r>
        <w:t>Internal Bank communications and memoranda, reports and meeting minutes regarding the account; and</w:t>
      </w:r>
    </w:p>
    <w:p>
      <w:r>
        <w:rPr>
          <w:b/>
        </w:rPr>
        <w:t>E. 6.1</w:t>
      </w:r>
    </w:p>
    <w:p>
      <w:r>
        <w:t>En l'espèce, le chiffre 3 de la décision finale de l'AFC du 17 novembre 2020 précise ce qui suit. [Il est décidé] d'informer l'Internal Revenue Service des Etats-Unis d'Amérique que les renseignements cités au chiffre 2 ne peuvent être utilisés que dans le cadre de la procédure relative à feu A._______ pour l'état de fait décrit dans la demande d'assistance administrative du (...) 2020, et qu'ils sont soumis aux restrictions d'utilisation et aux obligations de confidentialité prévues par la Convention (art. 26 ch. 2 CDI-US 96). Ainsi, il apparaît que la décision de l'AFC est conforme au droit et aucun élément ne permet de remettre en doute le respect du principe de spécialité par l'autorité requérante.</w:t>
      </w:r>
    </w:p>
    <w:p>
      <w:r>
        <w:rPr>
          <w:b/>
        </w:rPr>
        <w:t>E. 7</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8</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 Vu l'issue de la cause, il n'est pas alloué de dépens (art. 64 al. 1 PA a contrario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