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A-6383/2020 vom 27. Juli 2022</w:t>
      </w:r>
    </w:p>
    <w:p>
      <w:r>
        <w:t>Bundesverwaltungsgericht, 2022-07-27, FR</w:t>
      </w:r>
    </w:p>
    <w:p>
      <w:r>
        <w:rPr>
          <w:b/>
        </w:rPr>
        <w:t xml:space="preserve">Quelle: </w:t>
      </w:r>
      <w:r>
        <w:t>https://mcp.opencaselaw.ch/entscheid/bvger_A-6383_2020</w:t>
      </w:r>
    </w:p>
    <w:p>
      <w:r>
        <w:t>FR: TAF A-6383/2020 du 27 juillet 2022</w:t>
      </w:r>
    </w:p>
    <w:p>
      <w:r>
        <w:t>IT: TAF A-6383/2020 del 27 luglio 2022</w:t>
      </w:r>
    </w:p>
    <w:p>
      <w:pPr>
        <w:pStyle w:val="Heading2"/>
      </w:pPr>
      <w:r>
        <w:t>Regeste</w:t>
      </w:r>
    </w:p>
    <w:p>
      <w:r>
        <w:t>Assistance administrative</w:t>
      </w:r>
    </w:p>
    <w:p>
      <w:pPr>
        <w:pStyle w:val="Heading2"/>
      </w:pPr>
      <w:r>
        <w:t>Erwägungen</w:t>
      </w:r>
    </w:p>
    <w:p>
      <w:r>
        <w:rPr>
          <w:b/>
        </w:rPr>
        <w:t>E. 1</w:t>
      </w:r>
    </w:p>
    <w:p>
      <w:r>
        <w:t>Bank account statement in respect of the Relationship No. (...) in J._______ (...) or any other bank account in the name of F._______. starting from (...) 2003 (or from the date of opening of Bank Account, whichever, is later) to (...) 2019.</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Complete account opening forms and KYC (know your customer) documents in relation to the Relationship No. (...) in J._______ (...) or any other bank account in the name of F._______.</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substance, le recourant se plaint que dans la mesure où l'état de fait présenté dans la demande d'assistance reposerait sur de fausses déclarations de B._______ et où ladite demande ciblerait une relation bancaire qui n'aurait aucun lien avec le recourant, l'AFC aurait violé les principes de la bonne foi, de l'interdiction de la pêche aux renseignements et de la pertinence vraisemblable. Par ailleurs, puisque selon le recourant un nombre exceptionnel de demandes d'assistance aurait été déposées à son encontre, en raison de son lien de parenté avec un haut dirigeant du parti d'opposition en Inde, et dans un but de persécution politique, la transmission de renseignements violerait l'ordre public suisse. En outre, le recourant soutient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également qu'il serait notoire que l'Inde ne respecte pas les droits fondamentaux, notamment en appliquant des lois pénales à titre rétroactif. Le recourant reproche en outre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des éclaircissements à l'autorité requérante relatifs à la pertinence vraisemblable des renseignements requis ainsi qu'une garantie expresse de l'Inde quant à ladite pertinence des informations sollicitées et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2.3</w:t>
      </w:r>
    </w:p>
    <w:p>
      <w:r>
        <w:t>Le Tribunal examinera d'abord et d'office la question du droit applicable ratione temporis à la demande d'assistance administrative (consid. 3 infra). Il passera ensuite à l'examen des griefs relatifs à la bonne foi, à la pertinence vraisemblable des informations et à l'interdiction de la pêche aux renseignements (consid. 4 infra). La prétendue violation de l'ordre public suisse sera ensuite abordée (consid. 5 infra), suivie des questions de l'utilisation des renseignements à des fins pénales en relation avec le principe de spécialité (consid. 6 infra) et du respect de la protection des données (consid. 7 infra). Enfin le Tribunal examinera les griefs relatifs au caviardage de l'arrêt avant sa publication par le Tribunal (consid. 8 infra) et à l'obtention de garanties auprès de l'autorité requérante (consid. 9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Copies of all communication in relation to the operation of the Relationship No. (...) in J._______ (...) or any other bank account in the name of F._______.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Dans son acte de recours, le recourant a conclu, à titre plus subsidiaire, à ce que l'AFC modifie sa décision en ce sens que les informations transmises ne pourront être utilisées dans l'Etat requérant que dans le cadre de procédures fiscales relatives au recourant et au plus tôt pour les années fiscales indiennes 2012-2013 et suivantes.</w:t>
      </w:r>
    </w:p>
    <w:p>
      <w:r>
        <w:rPr>
          <w:b/>
        </w:rPr>
        <w:t>E. 3.5</w:t>
      </w:r>
    </w:p>
    <w:p>
      <w:r>
        <w:t>En l'espèce, il apparaît que conformément à l'art. 26 par. 1 CDI IN-CH, à l'art. 14 par. 3 du Protocole 3 et à la jurisprudence, la transmission envisagée par l'AFC des informations à compter du 1er avril 2011 est conforme au droit. Dès lors, le Tribunal ne retient pas de violation du champ d'application temporel de ladite convention et de ses protocoles et le grief du recourant est rejeté sur ce point.</w:t>
      </w:r>
    </w:p>
    <w:p>
      <w:r>
        <w:rPr>
          <w:b/>
        </w:rPr>
        <w:t>E. 4</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4.1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4.2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4.3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4.7</w:t>
      </w:r>
    </w:p>
    <w:p>
      <w:r>
        <w:t>Le recourant se plaint que dans la mesure où l'état de fait présenté dans la demande d'assistance administrative reposerait exclusivement sur des déclarations mensongères de B._______,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B._______. Par ailleurs, selon le recourant, la demande d'assistance ciblerait une relation bancaire à laquelle il ne serait pas lié, soit un compte détenu par la société F._______, dont il ne serait ni le titulaire, ni le bénéficiaire économique. Le recourant allègue ainsi que son nom n'apparaîtrait dans aucun document à transmettre à l'autorité requérante. Pour ces raisons, le recourant se plaint qu'en l'absence de tout soupçon justifié, l'autorité requérante aurait déposé sa demande à des fins de recherche de preuve en violation du principe de l'interdiction des fishing expeditions. Le recourant se plaint également que dans la mesure où les informations à transmettre ne le concernerait pas, celles-ci ne seraient pas pertinemment vraisemblable en vue de sa taxation en Inde.</w:t>
      </w:r>
    </w:p>
    <w:p>
      <w:r>
        <w:rPr>
          <w:b/>
        </w:rPr>
        <w:t>E. 4.8</w:t>
      </w:r>
    </w:p>
    <w:p>
      <w:r>
        <w:t>En l'espèce, la demande d'assistance administrative contient tous les éléments énumérés au chiffre 10 ad art. 26 du Protocole additionnel, de sorte que ces éléments devraient suffire à démontrer la pertinence vraisemblable de la demande (cf. consid. 4.5 et 4.6 supra). Par ailleurs, il ressort de l'état de fait exposé dans ladite demande que, selon le résultat d'une enquête et d'une perquisition menée par l'autorité requérante, le recourant aurait dissimulé des fonds à l'étranger par l'intermédiaire de son partenaire d'affaire B._______, un ressortissant indien basé à (...), détenteur de la société D._______. Ainsi, B._______ aurait, par l'entremise de sa société, facilité l'importation de panneaux solaires de fabrication chinoise par la société C._______, contrôlée par le recourant. Dans ce cadre, B._______ aurait reçu des fonds non-comptabilisés du recourant qu'il aurait ensuite transférés, sur instruction de ce dernier, sur des comptes bancaires à l'étranger dont le recourant serait le bénéficiaire effectif, en particulier un compte au nom de la société F._______, en Suisse. Cette entité serait indirectement contrôlée par B._______, pour le compte du recourant. Par ailleurs, selon les indications contenues dans la demande d'assistance, la société F._______ aurait prêté un montant d'environ (...) d'USD à la société K._______ détenue par C._______. Ce prêt aurait été effectué afin de développer un programme informatique. Il apparaît cependant qu'aucune activité en ce sens n'ait été entreprise. A la place, ces fonds auraient servi à l'achat d'un immeuble qui serait à présent utilisé comme résidence par le recourant. Il apparaît également qu'aucun intérêt en relation avec le prêt précité n'ait été payé par la société K._______. Cet élément prouverait que le bénéficiaire économique de la société F._______ serait en réalité le recourant, ce qu'aurait au demeurant admis B._______. La demande d'assistance indienne précise qu'en lien avec les investigations menées dans la procédure, les déclarations de ce dernier ont été enregistrées sous serment et que ce dernier a fourni des vouchers, courriels et ordres de transferts à l'appui de sa déposition. Ce montage fiscal aurait ainsi eu pour conséquence de dissimuler des avoirs du recourant au fisc indien. Par ailleurs, selon les termes utilisés par l'autorité requérante : The bank account statements and details of transactions from (...) 2003 and other relevant documents would provide a trail of the funds channeled through foreign entities and help to establish the exact undisclosed income of A._______/C._______. The bank account statements would also enable the Indian Tax Authorities to discover any new foreign entities owned or controlled by A._______/C._______.</w:t>
      </w:r>
    </w:p>
    <w:p>
      <w:r>
        <w:rPr>
          <w:b/>
        </w:rPr>
        <w:t>E. 4.9</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4 supra). A cet égard, il apparait que la fausseté alléguée des déclarations de B._______ se fonde sur une requête l'« Enforcement Directorate » adressée à un juge indien, antérieure au dépôt de la demande d'assistance administrative, visant à annuler la mise ene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mettre en doute les allégations de l'autorité requérante et renverser la présomption de bonne foi de l'Etat indien (cf. consid. 4.1 supra). Partant le grief du recourant est rejeté sur ce point.</w:t>
      </w:r>
    </w:p>
    <w:p>
      <w:r>
        <w:rPr>
          <w:b/>
        </w:rPr>
        <w:t>E. 4.10</w:t>
      </w:r>
    </w:p>
    <w:p>
      <w:r>
        <w:t>Par ailleurs, il ressort de la demande d'assistance administrative que les renseignements requis sont en relation directe avec le complexe de faits exposés dans la demande et que l'autorité requérante cherche à clarifier. En effet, puisque les informations à transmettre répondent aux questions posées dans ladite demande, les renseignements requis sont manifestement propres à faire progresser l'enquête fiscale ou en rapport avec elle. Dès lors, dans la mesure où il existe une possibilité raisonnable que les renseignements demandés se révéleront pertinents, la demande apparaît comme conforme au principe proportionnalité (cf. consid. 4.2 et ss supra). Pour ces raisons les renseignements à transmettre apparaissent comme vraisemblablement pertinents et la demande d'assistance présentée par l'autorité requérante ne constitue pas une pêche aux renseignements. Les griefs du recourant doivent être rejetés sur ce point.</w:t>
      </w:r>
    </w:p>
    <w:p>
      <w:r>
        <w:rPr>
          <w:b/>
        </w:rPr>
        <w:t>E. 5</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5.1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5.2</w:t>
      </w:r>
    </w:p>
    <w:p>
      <w:r>
        <w:t>Selon le recourant dans la mesure où un nombre exceptionnel de demandes d'assistance aurait été déposées à son encontre, sans fondements, sur la base de fausses déclarations de B._______ et dans un but de persécution politique en raison du lien de parenté du recourant avec un haut dirigeant du parti d'opposition en Inde, la transmission de renseignements violerait l'ordre public suisse.</w:t>
      </w:r>
    </w:p>
    <w:p>
      <w:r>
        <w:rPr>
          <w:b/>
        </w:rPr>
        <w:t>E. 5.3</w:t>
      </w:r>
    </w:p>
    <w:p>
      <w:r>
        <w:t>En l'espèce, il apparait que le recourant est le neveu de L._______,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4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Enfin, il n'apparaît pas que le dépôt de dix requêtes d'assistance administrative constitue un nombre exceptionnellement élevé. Pour ces raisons, le Tribunal ne retient pas que la demande ait été déposée à des fins de persécution politique, ce qui violerait l'ordre public (cf. supra consid. 5 s.). Le grief du recourant doit dès lors être rejeté sur ce point. Au surplus le Tribunal rappelle qu'une fois les informations transmises, le recourant reste protégé par le principe de spécialité (cf. infra consid. 6).</w:t>
      </w:r>
    </w:p>
    <w:p>
      <w:r>
        <w:rPr>
          <w:b/>
        </w:rPr>
        <w:t>E. 6</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6.1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6.2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6.3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6.4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6.5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TF 2C_141/2018 du 24 juillet 2020 consid. 9.34, arrêt du TF 2C_88/2018 du 7 décembre 2018 consid. 8.2 et la référence).</w:t>
      </w:r>
    </w:p>
    <w:p>
      <w:r>
        <w:rPr>
          <w:b/>
        </w:rPr>
        <w:t>E. 6.6</w:t>
      </w:r>
    </w:p>
    <w:p>
      <w:r>
        <w:t>Selon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6.7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 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6.8</w:t>
      </w:r>
    </w:p>
    <w:p>
      <w:r>
        <w:t>En l'espèce, conformément à la jurisprudence, les informations dont la transmission est envisagée par l'AFC peuvent également être utilisées dans le cadre d'une procédure pénale fiscale (cf. consid. 6.3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La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6.5)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6.9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6.8).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supra consid. 6.2 ss). En conséquence, tout grief à ce propos doit être invoqué devant les autorités compétentes étrangères.</w:t>
      </w:r>
    </w:p>
    <w:p>
      <w:r>
        <w:rPr>
          <w:b/>
        </w:rPr>
        <w:t>E. 6.10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6.11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6.12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présomption de bonne foi de l'autorité requérante, les griefs du recourant est rejeté sur ce point (cf. supra consid. 4 ss).</w:t>
      </w:r>
    </w:p>
    <w:p>
      <w:r>
        <w:rPr>
          <w:b/>
        </w:rPr>
        <w:t>E. 6.13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7</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7.1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7.2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7.3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7.4</w:t>
      </w:r>
    </w:p>
    <w:p>
      <w:r>
        <w:t>En l'espèce, comme déjà expliqué ci-dessus (cf. supra consid. 6.12)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7.5</w:t>
      </w:r>
    </w:p>
    <w:p>
      <w:r>
        <w:t>Ainsi au vu de la présomption de bonne foi de l'autorité requérante et de ses garanties expresses (cf. supra consid. 6.13) et dans la mesure où la procédure devant l'AFC s'est déroulée conformément au droit, le Tribunal ne retient pas que la protection des données en Inde constitue un motif du refus de transfert des informations.</w:t>
      </w:r>
    </w:p>
    <w:p>
      <w:r>
        <w:rPr>
          <w:b/>
        </w:rPr>
        <w:t>E. 7.6</w:t>
      </w:r>
    </w:p>
    <w:p>
      <w:r>
        <w:t>Au surplus, et comme expliqué ci-dessus (cf. supra consid. 6.9),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8</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9</w:t>
      </w:r>
    </w:p>
    <w:p>
      <w:r>
        <w:t>Enfin et à titre subsidiaire, le recourant requiert que l'AFC demande des éclaircissements à l'autorité requérante relative à la pertinence vraisemblable des renseignements requis. Le recourant demande également que l'AFC exige une garantie expresse de l'Inde quant à la pertinence vraisemblable des informations sollicitées et aux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9.1</w:t>
      </w:r>
    </w:p>
    <w:p>
      <w:r>
        <w:t>En l'espèce, compte tenu de l'ensemble des motifs qui viennent d'être exposés, le Tribunal retient qu'il n'y a pas de raisons de requérir des éclaircissements auprès de l'autorité requérante ni une garantie expresse de cette dernière quant à la pertinence vraisemblable des informations requises et au but fiscal poursuivi par la demande d'assistance pour les années fiscales indiennes 2012-2013 et suivantes (sur la question de temporalité cf. supra consid. 3), à l'exclusion de toute procédure pénale fiscale.</w:t>
      </w:r>
    </w:p>
    <w:p>
      <w:r>
        <w:rPr>
          <w:b/>
        </w:rPr>
        <w:t>E. 9.2</w:t>
      </w:r>
    </w:p>
    <w:p>
      <w:r>
        <w:t>Au surplus, selon le chiffre 3 du dispositif de la décision de l'AFC du 17 novembre 2020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 sur ce point.</w:t>
      </w:r>
    </w:p>
    <w:p>
      <w:r>
        <w:rPr>
          <w:b/>
        </w:rPr>
        <w:t>E. 10</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11</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12</w:t>
      </w:r>
    </w:p>
    <w:p>
      <w:r>
        <w:t>Vu l'issue de la cause, il n'est pas alloué de dépens (art. 64 al. 1 PA a contrario et art. 7 al. 1 FITAF a contrario).</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