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A-6377/2019 vom 4. Dezember 2019</w:t>
      </w:r>
    </w:p>
    <w:p>
      <w:r>
        <w:t>Bundesverwaltungsgericht, 2019-12-04, DE</w:t>
      </w:r>
    </w:p>
    <w:p>
      <w:r>
        <w:rPr>
          <w:b/>
        </w:rPr>
        <w:t xml:space="preserve">Quelle: </w:t>
      </w:r>
      <w:r>
        <w:t>https://mcp.opencaselaw.ch/entscheid/bvger_A-6377_2019</w:t>
      </w:r>
    </w:p>
    <w:p>
      <w:r>
        <w:t>FR: TAF A-6377/2019 du 4 décembre 2019</w:t>
      </w:r>
    </w:p>
    <w:p>
      <w:r>
        <w:t>IT: TAF A-6377/2019 del 4 dicembre 2019</w:t>
      </w:r>
    </w:p>
    <w:p>
      <w:pPr>
        <w:pStyle w:val="Heading2"/>
      </w:pPr>
      <w:r>
        <w:t>Regeste</w:t>
      </w:r>
    </w:p>
    <w:p>
      <w:r>
        <w:t>Zölle</w:t>
      </w:r>
    </w:p>
    <w:p>
      <w:pPr>
        <w:pStyle w:val="Heading2"/>
      </w:pPr>
      <w:r>
        <w:t>Erwägungen</w:t>
      </w:r>
    </w:p>
    <w:p>
      <w:r>
        <w:rPr>
          <w:b/>
        </w:rPr>
        <w:t>E. 1.1</w:t>
      </w:r>
    </w:p>
    <w:p>
      <w:r>
        <w:t>Das Gesuch der Beschwerdeführenden um Erlass superprovisorischer Massnahmen wird gutgeheissen. Der Vorinstanz sowie dem Auktionshaus [...] wird einstweilen untersagt, die streitgegenständlichen Kunstwerke zu versteigern.</w:t>
      </w:r>
    </w:p>
    <w:p>
      <w:r>
        <w:rPr>
          <w:b/>
        </w:rPr>
        <w:t>E. 1.2</w:t>
      </w:r>
    </w:p>
    <w:p>
      <w:r>
        <w:t>Für den Fall der Nichtbeachtung der Anordnungen gemäss Dispositiv-Ziff. 1.1 wird den Mitgliedern des Verwaltungsrats der X._______ die Ungehorsamsstrafe nach Art. 292 StGB angedroht. Art. 292 StGB lautet wie folgt: «Ungehorsam gegen amtliche Verfügungen: Wer der von einer zuständigen Behörde oder einem zuständigen Beamten unter Hinweis auf die Strafdrohung dieses Artikels an ihn erlassenen Verfügung nicht Folge leistet, wird mit Busse bestraft». Die Busse kann bis zu Fr. 10'000.-- betragen (vgl. Art. 106 Abs. 1 StGB).</w:t>
      </w:r>
    </w:p>
    <w:p>
      <w:r>
        <w:rPr>
          <w:b/>
        </w:rPr>
        <w:t>E. 1.3</w:t>
      </w:r>
    </w:p>
    <w:p>
      <w:r>
        <w:t>Die Anordnungen gemäss Dispositiv-Ziff. 1.1 und die damit verbundene Strafandrohung gemäss Dispositiv-Ziff. 1.2 bleiben bestehen, bis das Bundesverwaltungsgericht bzw. allenfalls das Bundesgericht entweder die Massnahme aufhebt, oder ein rechtskräftiger Entscheid in der Sache ergeht.</w:t>
      </w:r>
    </w:p>
    <w:p>
      <w:r>
        <w:rPr>
          <w:b/>
        </w:rPr>
        <w:t>E. 2</w:t>
      </w:r>
    </w:p>
    <w:p>
      <w:r>
        <w:t>Ein Doppel der Beschwerde sowie ein Doppel der Beilagen gehen an die Vorinstanz.</w:t>
      </w:r>
    </w:p>
    <w:p>
      <w:r>
        <w:rPr>
          <w:b/>
        </w:rPr>
        <w:t>E. 3</w:t>
      </w:r>
    </w:p>
    <w:p>
      <w:r>
        <w:t>Die Vorinstanz wird aufgefordert, bis zum 19. Dezember 2019 eine Stellungnahme zur Frage einzureichen, ob die superprovisorisch angeordneten Massnahmen als provisorische Massnahmen aufrecht zu erhalten sind. Die allfällige Einholung einer vorinstanzlichen Vernehmlassung zur Sache bzw. zur Frage der Rechtsverweigerung/Rechtsverzögerung bleibt vorbehalten.</w:t>
      </w:r>
    </w:p>
    <w:p>
      <w:r>
        <w:rPr>
          <w:b/>
        </w:rPr>
        <w:t>E. 4</w:t>
      </w:r>
    </w:p>
    <w:p>
      <w:r>
        <w:t>Weiter Instruktionsmassnahmen folgen zu einem späteren Zeitpunkt.</w:t>
      </w:r>
    </w:p>
    <w:p>
      <w:r>
        <w:rPr>
          <w:b/>
        </w:rPr>
        <w:t>E. 5</w:t>
      </w:r>
    </w:p>
    <w:p>
      <w:r>
        <w:t>Über die Kosten dieser Zwischenverfügung und eine allfällige Parteientschädigung für diese Verfügung wird mit der Hauptsache entschieden.</w:t>
      </w:r>
    </w:p>
    <w:p>
      <w:r>
        <w:rPr>
          <w:b/>
        </w:rPr>
        <w:t>E. 6</w:t>
      </w:r>
    </w:p>
    <w:p>
      <w:r>
        <w:t>Dieser Entscheid geht an: - die Beschwerdeführenden (Einschreiben mit Rückschein, vorab per E-Mail) - die Vorinstanz (Einschreiben mit Rückschein, vorab per E-Mail) Auszüge (rechtliche Erwägungen und Subsumtion) sowie vollständiges Dispositiv an: - die X._______ (Einschreiben mit Rückschein, vorab per E-Mail) Für die Rechtsmittelbelehrung wird auf die nächste Seite verwiesen. Der Einzelrichter: Die Gerichtsschreiberin: Michael Beusch Susanne Raas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4.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