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A-6360/2009 vom 22. August 2011</w:t>
      </w:r>
    </w:p>
    <w:p>
      <w:r>
        <w:t>Bundesverwaltungsgericht, 2011-08-22, FR</w:t>
      </w:r>
    </w:p>
    <w:p>
      <w:r>
        <w:rPr>
          <w:b/>
        </w:rPr>
        <w:t xml:space="preserve">Quelle: </w:t>
      </w:r>
      <w:r>
        <w:t>https://mcp.opencaselaw.ch/entscheid/bvger_A-6360_2009</w:t>
      </w:r>
    </w:p>
    <w:p>
      <w:r>
        <w:t>FR: TAF A-6360/2009 du 22 août 2011</w:t>
      </w:r>
    </w:p>
    <w:p>
      <w:r>
        <w:t>IT: TAF A-6360/2009 del 22 agosto 2011</w:t>
      </w:r>
    </w:p>
    <w:p>
      <w:pPr>
        <w:pStyle w:val="Heading2"/>
      </w:pPr>
      <w:r>
        <w:t>Regeste</w:t>
      </w:r>
    </w:p>
    <w:p>
      <w:r>
        <w:t>Emoluments</w:t>
      </w:r>
    </w:p>
    <w:p>
      <w:pPr>
        <w:pStyle w:val="Heading2"/>
      </w:pPr>
      <w:r>
        <w:t>Erwägungen</w:t>
      </w:r>
    </w:p>
    <w:p>
      <w:r>
        <w:rPr>
          <w:b/>
        </w:rPr>
        <w:t>E. 2.1</w:t>
      </w:r>
    </w:p>
    <w:p>
      <w:r>
        <w:t>De manière générale, l'objet du litige est défini par le contenu de la décision attaquée - plus particulièrement son dispositif -, en tant qu'il est contesté par le recourant (ATF 125 V 413 consid. 1; ATAF 2009/54 consid. 1.3.3; arrêt du Tribunal administratif fédéral A-1791/2009 du 28 septembre 2009 consid. 1.2; André Moser / Michael Beusch / Lorenz Kneubühler, Prozessieren vor dem Bundesverwaltungsgericht, Bâle 2008, n. 2.7ss). En principe, le litige ne peut porter sur des points non tranchés par l'autorité inférieure dans le cadre de la décision attaquée.</w:t>
      </w:r>
    </w:p>
    <w:p>
      <w:r>
        <w:rPr>
          <w:b/>
        </w:rPr>
        <w:t>E. 2.2</w:t>
      </w:r>
    </w:p>
    <w:p>
      <w:r>
        <w:t>Le Tribunal administratif fédéral applique le droit d'office, sans être lié par les motifs invoqués (art. 62 al. 4 PA), ni par l'argumentation juridique développée dans la décision entreprise (Pierre Moor / Etienne Poltier, Droit administratif, vol. II, 3ème édition, Berne 2011, n. 2.2.6.5). La procédure est régie par la maxime inquisitoire, ce qui signifie que le Tribunal définit les faits et apprécie les preuves d'office et librement (art. 12 PA). Les parties doivent toutefois collaborer à l'établissement des faits (art. 13 PA) et motiver leur recours (art. 52 PA). Ainsi, l'administré qui adresse une demande à l'administration dans son propre intérêt doit la motiver et apporter les éléments en sa possession permettant d'établir la preuve des faits dont il se prévaut (Moor/Poltier, op. cit., n. 2.2.6.3; ATF 132 III 731 consid. 3.5).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w:t>
      </w:r>
    </w:p>
    <w:p>
      <w:r>
        <w:rPr>
          <w:b/>
        </w:rPr>
        <w:t>E. 3</w:t>
      </w:r>
    </w:p>
    <w:p>
      <w:r>
        <w:t>En l'espèce, par son recours, la recourante a soumis deux questions au Tribunal administratif fédéral. La première - et principale - question porte sur le fait de savoir si la recourante doit être exonérée du paiement de la redevance pour la réception de programmes de radio. Cette question sera examinée ci-après (infra consid. 4). Quant à la seconde question, à savoir la problématique du "second rappel" qui ne comporte qu'une seule indemnité de rappel de Fr. 5.- alors qu'il devrait selon la recourante en comporter deux, elle n'a pas été abordée dans la décision attaquée. Or, comme cela a été indiqué précédemment (supra consid. 2.1), le litige ne peut pas porter sur des points qui n'ont pas été tranchés par l'autorité inférieure dans le cadre de la décision attaquée. En effet, il y a lieu de rappeler que si ce sont les conclusions du recours qui déterminent quelle est l'étendue de l'objet du litige, celui-ci ne peut pas pour autant s'inscrire au-delà de ce que l'autorité inférieure a décidé. C'est pourquoi, dans ses conclusions, le recourant ne peut en principe que réduire l'objet du litige (en renonçant à remettre en cause certains points de la décision entreprise) et non pas l'élargir (cf. arrêt du Tribunal administratif fédéral A-1739/2006 du 27 septembre 2007 consid. 3.1 et les références citées). Dans ces conditions, et sans qu'il faille chercher à analyser quel était l'intérêt que poursuivait la recourante en l'invoquant, ce grief doit donc être déclaré irrecevable. Il en va d'ailleurs de même des différentes "conclusions nouvelles" soumises au gré de la procédure par la recourante, à savoir la contestation de deux factures soumises le 9 décembre 2009 (supra consid. L), l'exigence - fondée sur le droit pénal français - d'une indemnisation d'un montant de trente milles euros de la part de Billag ou du Tribunal fédéral (supra consid. O), ainsi que les oppositions aux commandements de payer dans la poursuite n°(...) (supra consid. Q et U) et dans la poursuite n°(...) (supra consid. U) : à l'instar de ce qui précède, ces différentes conclusions sont donc toutes déclarées irrecevables.</w:t>
      </w:r>
    </w:p>
    <w:p>
      <w:r>
        <w:rPr>
          <w:b/>
        </w:rPr>
        <w:t>E. 4</w:t>
      </w:r>
    </w:p>
    <w:p>
      <w:r>
        <w:t>Reste à examiner la question de l'assujettissement de la recourante à la redevance de réception de programmes de radio.</w:t>
      </w:r>
    </w:p>
    <w:p>
      <w:r>
        <w:rPr>
          <w:b/>
        </w:rPr>
        <w:t>E. 4.1</w:t>
      </w:r>
    </w:p>
    <w:p>
      <w:r>
        <w:t>Dans un premier temps, il sied de déterminer quelle réglementation sur la radio et la télévision est applicable au présent litige, dans la mesure où la nouvelle loi fédérale du 24 mars 2006 sur la radio et la télévision (LRTV, RS 784.40) est entrée en vigueur le 1er avril 2007 (RO 2007 781).</w:t>
      </w:r>
    </w:p>
    <w:p>
      <w:r>
        <w:rPr>
          <w:b/>
        </w:rPr>
        <w:t>E. 4.1.1</w:t>
      </w:r>
    </w:p>
    <w:p>
      <w:r>
        <w:t>Sauf disposition contraire, le nouveau droit ne s'applique en principe pas aux faits antérieurs à sa mise en vigueur. La rétroactivité n'est admise qu'exceptionnellement (arrêt du Tribunal administratif fédéral A-1153/2009 du 12 novembre 2009 consid. 4.1; arrêt du Tribunal administratif fédéral A-1832/2008 du 20 février 2009, consid. 2.1; Pierre Moor, Droit administratif, vol. I, Berne 1994, p. 178 ss). Or, ni la LRTV, ni l'ordonnance y relative du 9 mars 2007 (ORTV, RS 784.401), elle aussi entrée en vigueur le 1er avril 2007 (art. 83 ORTV), n'ont vocation à s'appliquer rétroactivement. Elles ne contiennent en effet pas de normes sur la question et aucun fait particulier en l'espèce ne commande d'aller dans ce cens. Il n'y a ainsi pas lieu de s'écarter de la règle générale. Couvrant la période allant du 1er mars 2004 au 31 mars 2009 (cf. supra consid. C), les redevances concernées par la présente cause doivent dès lors théoriquement s'apprécier, pour une partie, à la lumière de l'ancienne loi fédérale sur la radio et la télévision du 21 juin 1991 (aLRTV, RO 1992 601) et de l'ancienne ordonnance du 6 octobre 1997 (aORTV, RO 1997 2903), en vigueur jusqu'au 31 mars 2007 et, pour une autre partie, au regard de la LRTV et de l'ORTV. Ceci posé, pour ce qui concerne l'obligation de payer les redevances, la nouvelle législation ne fait que reprendre le système mis en place par l'aLRTV et l'aORTV (Message du Conseil fédéral du 18 décembre 2002 relatif à la révision totale de la loi fédérale sur la radio et la télévision, FF 2003 1491 et 1567 ad art. 76 du projet). Le raisonnement restera donc le même, que l'on se réfère à l'ancienne ou à l'actuelle législation et cette distinction entre ancien et nouveau droit est sans conséquence pratique.</w:t>
      </w:r>
    </w:p>
    <w:p>
      <w:r>
        <w:rPr>
          <w:b/>
        </w:rPr>
        <w:t>E. 4.1.2</w:t>
      </w:r>
    </w:p>
    <w:p>
      <w:r>
        <w:t>Selon l'art. 55 al. 1 aLRTV, quiconque désire recevoir des programmes de radio ou de télévision doit en informer l'autorité compétente et s'acquitter d'une redevance de réception. L'art. 41 aORTV précise que la redevance est due dès le moment où la personne met en place ou exploite un appareil destiné à la réception de tels programmes. Ce principe est repris par l'art. 68 al. 1 LRTV, en vertu duquel quiconque met en place ou exploite un appareil destiné à la réception de programmes de radio et de télévision (récepteur) doit payer une redevance de réception (sur la nature de cette redevance, cf. ATF 121 II 183 consid. 3, arrêt du Tribunal fédéral 2A.200/2006 du 22 septembre 2006 consid. 2.3). Pour déterminer à partir de quand la redevance de réception peut être perçue, la loi a soumis les usagers à une incombance. En effet, il appartient à la personne qui désire recevoir des programmes de radio et de télévision de s'annoncer auparavant à l'autorité compétente (art. 55 al. 1 aLRTV). Selon l'art. 41 al. 2 aORTV, toute personne qui est soumise au régime des redevances doit informer par écrit l'organe d'encaissement de chaque modification des éléments déterminant l'obligation de déclarer. Enfin, l'art. 44 al. 2 aORTV prévoit que l'obligation de verser la redevance commence le premier jour du mois qui suit la préparation ou la mise en service du récepteur. L'annonce écrite de la personne concernée constitue ainsi un élément déterminant pour l'autorité chargée d'encaisser les redevances. Pour fixer le début de la redevance, Billag SA doit établir les faits d'office (cf. art. 12 PA). A cet égard, la déclaration de la personne qui désire recevoir des programmes de radio et de télévision constitue un élément déterminant, ce qui explique du reste que le législateur ait prévu la forme écrite.</w:t>
      </w:r>
    </w:p>
    <w:p>
      <w:r>
        <w:rPr>
          <w:b/>
        </w:rPr>
        <w:t>E. 4.2</w:t>
      </w:r>
    </w:p>
    <w:p>
      <w:r>
        <w:t>Dans le cas d'espèce, l'annonce écrite auprès de Billag a été effectuée par la recourante dans le formulaire daté du 8 octobre 2008 (cf. consid. B supra). Il apparaît toutefois, à la lecture de ce formulaire, que la recourante n'y a pas expressément indiqué recevoir des programmes de radio. En effet, si la recourante a bel et bien coché "Oui" à la rubrique "Je peux capter des programmes de TV", elle n'a en revanche rien inscrit du tout à la rubrique "Je peux capter des programmes de radio". Certes, elle a indiqué les mêmes dates de début de réception pour la TV et la radio, mais cette démarche s'explique par le fait que la recourante croyait que la redevance de radio était incluse dans la redevance de télévision. C'est en effet ce qui ressort du courrier que la recourante a écrit le 11 février 2009 en réaction à la décision de Billag du 28 janvier 2009 (cf. supra consid. C et D). Il est donc inexact de considérer, comme l'ont fait Billag puis l'autorité inférieure, que le formulaire d'annonce du 8 octobre 2008 a été "rempli de manière correcte" et qu'il n'y a "aucune raison de douter de la justesse dudit formulaire" (cf. décision attaquée p. 7). Il ne peut donc pas être retenu que la recourante a annoncé valablement la réception de programmes de radio par le biais de ce formulaire. Il apparaît toutefois que la recourante a elle-même admis qu'elle dispose, depuis le 24 novembre 2004, d'un véhicule (...) qui est équipé d'un autoradio CD (supra consid. S). Or, comme cela a été mentionné précédemment (consid. 4.1.2), la redevance de réception radio est due dès qu'un appareil destiné à la réception de programmes de radio est mis en place (art. 41 aORTV puis 68 al. 1 LRTV). Le fait que la recourante écoute effectivement la radio ou uniquement des CD n'est donc pas pertinent et la redevance est donc due par elle. L'assujettissement débutant le premier jour du mois qui suit la préparation ou la mise en service du récepteur (art. 44 al. 2 aORTV), la redevance pour la réception de programmes de radio est donc due par la recourante à partir du 1er décembre 2004.</w:t>
      </w:r>
    </w:p>
    <w:p>
      <w:r>
        <w:rPr>
          <w:b/>
        </w:rPr>
        <w:t>E. 5</w:t>
      </w:r>
    </w:p>
    <w:p>
      <w:r>
        <w:t>Au vu de ce qui précède, il y a lieu d'admettre partiellement le recours dans la mesure de sa recevabilité, d'annuler la décision querellée du 7 septembre 2009 et de renvoyer la cause à Billag pour qu'elle recalcule et fixe, par voie de décision, le montant de la redevance due pour la réception de programmes de radio du 1er décembre 2004 au 31 mars 2009 (sur la question du renvoi à l'autorité de première instance, cf. par analogie l'art. 107 al. 2 de la loi du 17 juin 2005 sur le Tribunal fédéral [LTF, RS 173.110], ainsi que Philippe Weissenberger, in Praxiskommentar zum Bundesgesetz über das Verwaltungsverfahren, Zurich, Bâle, Genève 2009, ad art 61, n° 21). Billag veillera dans ce contexte à éviter de facturer des frais indus de rappel et de poursuites (cf. arrêt du Tribunal administratif fédéral A-2182/2009 du 21 décembre 2009 consid. 6; arrêt du Tribunal administratif fédéral A-1153/2009 du 12 novembre 2009 consid. 6.2.3).</w:t>
      </w:r>
    </w:p>
    <w:p>
      <w:r>
        <w:rPr>
          <w:b/>
        </w:rPr>
        <w:t>E. 6</w:t>
      </w:r>
    </w:p>
    <w:p>
      <w:r>
        <w:t>La recourante ayant obtenu le bénéfice de l'assistance judiciaire partielle et aucuns frais n'étant de toute manière mis à la charge des autorités fédérales (art. 63 al. 2 PA), il est statué sans frais. Selon l'art. 64 al. 1 PA ainsi que l'art. 7 du règlement du 21 février 2008 concernant les frais, dépens et indemnités fixés par le Tribunal administratif fédéral (FITAF, RS 173.320.2), la partie qui obtient gain de cause a droit à des dépens pour les frais nécessaires causés par le litige (al. 1). Lorsqu'une partie n'obtient que partiellement gain de cause, les dépens auxquels elle peut prétendre sont réduits en proportion (al. 2). Si les frais sont relativement peu élevés, le tribunal peut renoncer à allouer des dépens (al. 4). En l'occurrence, il convient de renoncer à allouer des dépens à la recourante, qui n'est pas représentée par un avocat et qui n'a pas eu à supporter de frais élevés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