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A-6278/2018 vom 7. November 2019</w:t>
      </w:r>
    </w:p>
    <w:p>
      <w:r>
        <w:t>Bundesverwaltungsgericht, 2019-11-07, DE</w:t>
      </w:r>
    </w:p>
    <w:p>
      <w:r>
        <w:rPr>
          <w:b/>
        </w:rPr>
        <w:t xml:space="preserve">Quelle: </w:t>
      </w:r>
      <w:r>
        <w:t>https://mcp.opencaselaw.ch/entscheid/bvger_A-6278_2018</w:t>
      </w:r>
    </w:p>
    <w:p>
      <w:r>
        <w:t>FR: TAF A-6278/2018 du 7 novembre 2019</w:t>
      </w:r>
    </w:p>
    <w:p>
      <w:r>
        <w:t>IT: TAF A-6278/2018 del 7 novembre 2019</w:t>
      </w:r>
    </w:p>
    <w:p>
      <w:pPr>
        <w:pStyle w:val="Heading2"/>
      </w:pPr>
      <w:r>
        <w:t>Regeste</w:t>
      </w:r>
    </w:p>
    <w:p>
      <w:r>
        <w:t>Aufsichtsmittel</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nicht vor. Die Zuständigkeit des Bundesverwaltungsgerichts ist somit gegeben.</w:t>
      </w:r>
    </w:p>
    <w:p>
      <w:r>
        <w:rPr>
          <w:b/>
        </w:rPr>
        <w:t>E. 1.3</w:t>
      </w:r>
    </w:p>
    <w:p>
      <w:r>
        <w:t>Das Verfahren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Beschwerdeführenden haben bereits am vorinstanzlichen Verfahren teilgenommen, sind durch die angefochtene Verfügung beschwert und zur Beschwerde legitimiert.</w:t>
      </w:r>
    </w:p>
    <w:p>
      <w:r>
        <w:rPr>
          <w:b/>
        </w:rPr>
        <w:t>E. 1.5</w:t>
      </w:r>
    </w:p>
    <w:p>
      <w:r>
        <w:t>Nach dem Gesagten ist auf die form- und fristgerecht eingereichte Beschwerde (Art. 50 Abs. 1 und Art. 52 Abs. 1 VwVG) einzutreten.</w:t>
      </w:r>
    </w:p>
    <w:p>
      <w:r>
        <w:rPr>
          <w:b/>
        </w:rPr>
        <w:t>E. 1.6</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bei der oberen Instanz nur verengen, nicht aber erweitern kann, gilt es jedoch zu beachten, dass die Aufsichtstätigkeit im Bereich der beruflichen Vorsorge als Rechtskontrolle ausgestaltet ist (vgl. Isabelle Vetter-Schreiber, Berufliche Vorsorge, Kommentar, 3. Aufl. 2013, Art. 62 N. 3). Deshalb hat sich auch das angerufene Gericht - in Abweichung von Art. 49 Bst. c VwVG - auf eine Rechtskontrolle zu beschränken, soweit Entscheide des Stiftungsrates zu überprüfen sind (BGE 135 V 382 E. 4.2; Urteil des BGer 9C_756/2009 vom 8. Februar 2010 E. 5; Urteile des BVGer A-358/2018 vom 10. Januar 2019 E. 2.1; vgl. nachfolgend E. 3.5.5).</w:t>
      </w:r>
    </w:p>
    <w:p>
      <w:r>
        <w:rPr>
          <w:b/>
        </w:rPr>
        <w:t>E. 1.7.1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w:t>
      </w:r>
    </w:p>
    <w:p>
      <w:r>
        <w:rPr>
          <w:b/>
        </w:rPr>
        <w:t>E. 1.7.2</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BGE 134 I 140 E. 5.3; Urteil des BGer 6B_353/2017 vom 24. November 2017 E. 4.3; Urteil des BVGer A-1475/2018 vom 1. Juli 2019 E. 3.2 m.w.H.).</w:t>
      </w:r>
    </w:p>
    <w:p>
      <w:r>
        <w:rPr>
          <w:b/>
        </w:rPr>
        <w:t>E. 2.1.1</w:t>
      </w:r>
    </w:p>
    <w:p>
      <w:r>
        <w:t>Gemäss Art. 49 Abs. 1 BVG sind die Vorsorgeeinrichtungen im Rahmen dieses Gesetzes in der Gestaltung ihrer Leistungen, in deren Finanzierung und in ihrer Organisation frei. Nach Art. 50 Abs. 1 BVG erlassen die Vorsorgeeinrichtungen Bestimmungen über: die Leistungen (Bst. a), die Organisation (Bst. b), die Verwaltung und Finanzierung (Bst. c), die Kontrolle (Bst. d) sowie das Verhältnis zu den Arbeitgebern, zu den Versicherten und zu den Anspruchsberechtigten (Bst. e). Diese Bestimmungen können in der Gründungsurkunde, in den Statuten oder im Reglement enthalten sein.</w:t>
      </w:r>
    </w:p>
    <w:p>
      <w:r>
        <w:rPr>
          <w:b/>
        </w:rPr>
        <w:t>E. 2.1.2</w:t>
      </w:r>
    </w:p>
    <w:p>
      <w:r>
        <w:t>Gemäss Art. 51 Abs. 1 BVG haben Arbeitnehmer und Arbeitgeber das Recht, in das oberste Organ der Vorsorgeeinrichtung (gemäss Art. 106 des Vorsorgereglements der Pensionskasse [Vorsorgereglement; ab 1. Januar 2016 gültige Fassung] ist dies der Stiftungsrat) die gleiche Zahl von Vertretern zu entsenden. Nach Art. 51 Abs. 2 BVG hat die Vorsorgeeinrichtung die ordnungsgemässe Durchführung der paritätischen Verwaltung zu gewährleisten. Es sind namentlich zu regeln: die Wahl der Vertreter der Versicherten (Bst. a), eine angemessene Vertretung der verschiedenen Arbeitnehmerkategorien (Bst. b), die paritätische Vermögensverwaltung (Bst. c) sowie das Verfahren bei Stimmengleichheit (Bst. d). Die Versicherten wählen ihre Vertreter unmittelbar oder durch Delegierte. Ist dies wegen der Struktur der Vorsorgeeinrichtung, namentlich bei Sammelstiftungen, nicht möglich, so kann die Aufsichtsbehörde andere Formen der Vertretung zulassen. Den Vorsitz des paritätischen Organs führt abwechslungsweise ein Arbeitnehmer- und ein Arbeitgebervertreter. Das paritätische Organ kann jedoch die Zuordnung des Vorsitzes anders regeln (Art. 51 Abs. 3 BVG).</w:t>
      </w:r>
    </w:p>
    <w:p>
      <w:r>
        <w:rPr>
          <w:b/>
        </w:rPr>
        <w:t>E. 2.1.3</w:t>
      </w:r>
    </w:p>
    <w:p>
      <w:r>
        <w:t>Das oberste Organ der Vorsorgeeinrichtung nimmt die Gesamtleitung der Vorsorgeeinrichtung wahr, sorgt für die Erfüllung der gesetzlichen Aufgaben, bestimmt die strategischen Ziele und Grundsätze der Vorsorgeeinrichtung sowie die Mittel zu deren Erfüllung. Es legt die Organisation der Vorsorgeeinrichtung fest, sorgt für ihre finanzielle Stabilität und überwacht die Geschäftsführung (Art. 51a Abs. 1 BVG). Gemäss Art. 51a Abs. 2 BVG gehört zu dessen unübertragbaren und unentziehbaren Aufgaben u.a. der Erlass und die Änderung von Reglementen (Bst. c).</w:t>
      </w:r>
    </w:p>
    <w:p>
      <w:r>
        <w:rPr>
          <w:b/>
        </w:rPr>
        <w:t>E. 2.2.1</w:t>
      </w:r>
    </w:p>
    <w:p>
      <w:r>
        <w:t>Am 1. Mai 2016 trat das vom Stiftungsrat der Pensionskasse am 13. April 2016 verabschiedete «Reglement für die Wahl der Vertretung der Arbeitnehmenden in den Stiftungsrat der Pensionskasse (Wahlreglement)» in Kraft. Das Reglement sieht vor, dass die Arbeitnehmendenvertreter sowohl aus dem Kreise freier Kandidierender (Art. 8) als auch aus dem Kreise der (registrierten) Personalverbände (Art. 9) gewählt werden. Letztere dürfen je bis zu fünf Kandidaten nominieren (Art. 9 Abs. 1 des Wahlreglements). Für die freien Kandidaturen gibt es hingegen gemäss Wahlreglement keine zahlenmässige Beschränkung.</w:t>
      </w:r>
    </w:p>
    <w:p>
      <w:r>
        <w:rPr>
          <w:b/>
        </w:rPr>
        <w:t>E. 2.2.2</w:t>
      </w:r>
    </w:p>
    <w:p>
      <w:r>
        <w:t>Gemäss Art. 15 Abs. 1 des Wahlreglements erstellt die Pensionskasse Wahllisten nach den Art. 8 und 9 mit sämtlichen gültigen Kandidaturen sowie eine leere Wahlliste. Die bei der Pensionskasse versicherten Personen und amtierende Stiftungsräte, welche gemäss Art. 8 kandidieren, werden auf einer entsprechenden Wahlliste aufgeführt. Die Kandidaturen gemäss Art. 7 Abs. 2 Bst. b des Wahlreglements werden zuerst, in alphabetischer Reihenfolge nach Namen, aufgeführt, gefolgt von den weiteren Kandidaturen, ebenfalls in alphabetischer Reihenfolge (Art. 15 Abs. 2 des Wahlreglements). Die Kandidaturen der Personalverbände nach Art. 9 des Wahlreglements werden nach der Gültigkeitsprüfung auf ihre Wahlliste übernommen. Die Kandidaturen gemäss Art. 7 Abs. 2 Bst. a des Wahlreglements werden zuerst, in alphabetischer Reihenfolge nach Namen, aufgeführt, gefolgt von den weiteren Kandidaturen, ebenfalls in alphabetischer Reihenfolge. Für jeden Personalverband wird eine Wahlliste erstellt (Art. 15 Abs. 3 des Wahlreglements). Die leere Wahlliste gemäss Art. 15 Abs. 1 des Wahlreglements kann handschriftlich mit bis zu fünf Kandidaten aus den anderen Wahllisten ausgefüllt werden (Art. 15 Abs. 4 des Wahlreglements).</w:t>
      </w:r>
    </w:p>
    <w:p>
      <w:r>
        <w:rPr>
          <w:b/>
        </w:rPr>
        <w:t>E. 2.2.3</w:t>
      </w:r>
    </w:p>
    <w:p>
      <w:r>
        <w:t>In Art. 25 Abs. 1 des Wahlreglements wird sodann bestimmt, dass für die Schliessung allfälliger Lücken im vorliegenden Wahlreglement das Bundesgesetz vom 17. Dezember 1976 über die politischen Rechte (BPR; SR 161.1) sowie dessen Verordnungen sinngemäss anzuwenden sind.</w:t>
      </w:r>
    </w:p>
    <w:p>
      <w:r>
        <w:rPr>
          <w:b/>
        </w:rPr>
        <w:t>E. 2.3.1</w:t>
      </w:r>
    </w:p>
    <w:p>
      <w:r>
        <w:t>Gemäss Art. 61 Abs. 1 BVG bezeichnen die Kantone die zuständige Behörde für die Aufsicht über die Vorsorgeeinrichtungen sowie die Einrichtungen, die nach ihrem Zweck der beruflichen Vorsorge dienen, mit Sitz im Kantonsgebiet. Im vorliegenden Fall ist die zuständige Aufsichtsbehörde die Bernische BVG- und Stiftungsaufsicht bzw. die Vorinstanz. Zu den Aufgaben der Aufsichtsbehörde gehört es u.a., darüber zu wachen, dass die Vorsorgeeinrichtungen die gesetzlichen Vorschriften einhalten und dass das Vorsorgevermögen zweckgemäss verwendet wird. Sie tut dies - soweit hier interessierend - indem sie die Übereinstimmung der statutarischen und reglementarischen Bestimmungen der Vorsorgeeinrichtungen mit den gesetzlichen Vorschriften prüft (vgl. Art. 62 Abs. 1 Bst. a BVG) und Massnahmen zur Behebung von Mängeln trifft (Art. 62 Abs. 1 Bst. d BVG). So kann sie gesetzwidrige Reglemente oder Teile davon aufheben und den betreffenden Einrichtungen verbindliche Weisungen über die Ausgestaltung entsprechender Bestimmungen erteilen (BGE 128 II 24 E. 1a; BGE 112 Ia 180 E. 3). Dabei handelt es sich um eine abstrakte Normenkontrolle, zumal die Überprüfung der Gesetzmässigkeit losgelöst von einem konkreten Streitfall erfolgt (vgl. Urteil des BVGer A-5815/2016 vom 16. Mai 2017 E. 1.4). Im vorliegenden Fall hat die Vorinstanz das in Frage stehende Wahlreglement vor dessen ersten Anwendung einer solchen abstrakten Normenkontrolle unterzogen und für rechtmässig befunden (vgl. dazu Sachverhalt Bst. A.d).</w:t>
      </w:r>
    </w:p>
    <w:p>
      <w:r>
        <w:rPr>
          <w:b/>
        </w:rPr>
        <w:t>E. 2.3.2</w:t>
      </w:r>
    </w:p>
    <w:p>
      <w:r>
        <w:t>Die Aufsichtsbehörde hat sodann aufgrund von Art. 84 Abs. 2 ZGB, wonach die Aufsichtsbehörde dafür zu sorgen hat, dass das Stiftungsvermögen seinen Zwecken gemäss verwendet wird, in Zusammenhang mit einer Aufsichtsanzeige die Pflicht, den mitgeteilten Tatsachen nachzugehen und allfällige Massnahmen von Amtes wegen zu ergreifen (BGE 107 II 385 E. 3). Im Gegensatz zur Aufsichtsanzeige handelt es sich bei der von Lehre und Rechtsprechung aus Art. 84 Abs. 2 ZGB abgeleiteten Aufsichtsbeschwerde um ein Rechtsmittel eigener Art mit Anspruch auf Behandlung und Einräumung von Parteirechten (BGE 107 II 385 E. 3 f.; Urteil des BGer 9C_823/2011 vom 23. März 2012 E. 2.1; Urteil des BVGer B-2948/ 2017 vom 21. Dezember 2017 E. 4.1; vgl. zum Ganzen: Urteil des BVGer A-3146/2018 vom 24. Januar 2019 E. 2.2.3 m.w.H.). Im vorliegenden Fall handelte es sich bei der Eingabe der Beschwerdeführenden vom 7. Februar 2018 an die Vorinstanz unbestrittenermassen um eine solche Aufsichtsbeschwerde (vgl. Sachverhalt Bst. A.i).</w:t>
      </w:r>
    </w:p>
    <w:p>
      <w:r>
        <w:rPr>
          <w:b/>
        </w:rPr>
        <w:t>E. 3.1.1</w:t>
      </w:r>
    </w:p>
    <w:p>
      <w:r>
        <w:t>Die vorliegende Beschwerde richtet sich gegen die Wahl der Arbeitnehmervertretung in den Stiftungsrat der Pensionskasse, welche im Oktober/November 2017 stattgefunden hat.</w:t>
      </w:r>
    </w:p>
    <w:p>
      <w:r>
        <w:rPr>
          <w:b/>
        </w:rPr>
        <w:t>E. 3.1.2</w:t>
      </w:r>
    </w:p>
    <w:p>
      <w:r>
        <w:t>Anders als noch vor der Vorinstanz machen die Beschwerdeführenden im vorliegenden Verfahren zu Recht nicht mehr geltend, die Zusammenfassung aller freien Kandidierenden auf einer einzigen Wahlliste widerspreche den Bestimmungen des Wahlreglements. Zu Recht deshalb, weil sich sowohl aus dem Wortlaut der einschlägigen Reglementsbestimmungen (vgl. E. 2.2.1 ff.) als auch aus der Entstehungsgeschichte des Wahlreglements (vgl. Sachverhalt Bst. A.b) ergibt, dass das Wahlreglement effektiv vorsieht, dass für alle freien Kandidierenden nur eine Wahlliste geführt wird. Demnach liegt auch keine Lücke vor, die es zu füllen gälte (vgl. E. 2.2.3). Entsprechend kann festgehalten werden, das die konkrete Ausgestaltung der Wahllisten für die Wahl im Herbst 2017 das geltende Wahlreglement nicht verletzt hat.</w:t>
      </w:r>
    </w:p>
    <w:p>
      <w:r>
        <w:rPr>
          <w:b/>
        </w:rPr>
        <w:t>E. 3.1.3</w:t>
      </w:r>
    </w:p>
    <w:p>
      <w:r>
        <w:t>Umstritten und im vorliegenden Verfahren zu prüfen ist dagegen die Rüge der Beschwerdeführenden, das Wahlreglement verletze durch den Umstand, dass bestimmt werde, alle freien Kandidierenden seien auf einer einzigen Wahlliste zu führen, übergeordnetes Recht, namentlich Art. 34 BV. In diesem Zusammenhang machen die Beschwerdeführenden zunächst geltend, die Vorinstanz sei zu Unrecht auf diese Rüge nicht eingetreten.</w:t>
      </w:r>
    </w:p>
    <w:p>
      <w:r>
        <w:rPr>
          <w:b/>
        </w:rPr>
        <w:t>E. 3.2.1</w:t>
      </w:r>
    </w:p>
    <w:p>
      <w:r>
        <w:t>Auf die Frage, ob die Vorinstanz eine konkrete Normenkontrolle im Rahmen der Aufsichtsbeschwerde zu Recht mit der Begründung abgelehnt hat, sie habe das Wahlreglement bereits anlässlich dessen Prüfung gemäss Art. 62 Abs. 1 Bst. a BVG (E. 2.3.1) in seiner Gesamtheit einer abstrakten Normenkontrolle unterzogen und dessen Rechtmässigkeit bestätigt (vgl. Sachverhalt Bst. A.d und Bst. A.j), muss im vorliegenden Fall nicht abschliessend eingegangen werden. Denn aus der angefochtenen Verfügung geht hervor, dass die Vorinstanz keinen Grund sieht, von ihrem seinerzeitigen Prüfbefund Abstand zu nehmen. Namentlich weist sie darauf hin, es stehe ihr nicht zu, in das weite Ermessen der Vorsorgeeinrichtung schon dann einzugreifen, wenn sie nach der Prüfung der Sachlage einfach zu einem anderen Ermessensentscheid gekommen wäre. Sie habe nur bei Ermessensfehlern (Überschreitung oder Missbrauch des Ermessens) einzugreifen, während ein sich an den Rahmen des Ermessens haltendes Verhalten ein richtiges Verhalten darstelle, das die Aufsichtsbehörde nicht korrigieren dürfe. Ein Ermessensfehler liege im konkreten Fall nicht vor, weshalb sich ein Eingreifen erübrige. Daraus wird ersichtlich, dass die Vorinstanz auch bei einer Rückweisung zwecks Überprüfung der Rechtmässigkeit des in Frage stehenden Wahlreglements zu keinem anderen Ergebnis kommen würde, als dass sich das Reglement aus ihrer Sicht als rechtskonform erweist. Unter den gegebenen Umständen würde eine Rückweisung zu entsprechendem Entscheid einen prozessualen Leerlauf bedeuten, welchen es im Lichte des verfassungsrechtlichen Beschleunigungsgebots (Art. 29 Abs. 1 BV) nach konstanter Praxis - nicht zuletzt auch im Interesse der Beschwerdeführenden - zu vermeiden gilt.</w:t>
      </w:r>
    </w:p>
    <w:p>
      <w:r>
        <w:rPr>
          <w:b/>
        </w:rPr>
        <w:t>E. 3.2.2</w:t>
      </w:r>
    </w:p>
    <w:p>
      <w:r>
        <w:t>Nach dem Gesagten ist im Folgenden durch das Gericht zu klären, ob das Wahlreglement tatsächlich - wie von den Beschwerdeführenden geltend gemacht - zu beanstanden ist.</w:t>
      </w:r>
    </w:p>
    <w:p>
      <w:r>
        <w:rPr>
          <w:b/>
        </w:rPr>
        <w:t>E. 3.3.1</w:t>
      </w:r>
    </w:p>
    <w:p>
      <w:r>
        <w:t>Wahlsysteme lassen sich grundsätzlich unterteilen in Majorz-, Proporz- und Mischsysteme. Beim Majorz- oder Mehrheitswahlsystem fallen die zu vergebenden Sitze den Personen mit der grössten Stimmenzahl zu. Je nach Ausgestaltung der Wahlordnung ist für eine Wahl das absolute Mehr (mehr als die Hälfte der abgegebenen Stimmen) oder das relative Mehr (Erreichen der höchsten Stimmenzahlen) erforderlich. Im Unterschied dazu werden beim Proporz- oder Verhältniswahlsystem die Sitze auf verschiedene Parteien bzw. Gruppierungen im Verhältnis ihres Wähleranteils verteilt. Die Wählerinnen und Wähler geben dabei ihre Stimme in der Regel einer Liste, auf der die Namen mehrerer Kandidaten stehen. Danach werden die Mandate proportional zur Stärke der an der Wahl beteiligten Gruppierungen verteilt. Diese Verteilung kann nach unterschiedlichen Verfahren erfolgen. Majorz und Proporz sind idealtypische Wahlsysteme. Wie rein sie verwirklicht sind und sich entfalten können, hängt ab von der konkreten Wahlordnung und von der Praxis der politischen Parteien. Das anwendbare Recht kann ein gemischtes Wahlsystem vorsehen, welches Elemente sowohl des Majorz- als auch des Proporzprinzips enthält. Denkbar ist beispielsweise, dass in den Wahlkreisen jeweils ein Sitz nach dem Majorzprinzip vergeben wird, während allfällige weitere Sitze proportional verteilt werden. Letztlich kann eine bestimmte Wahlordnung - selbst wenn sie ausdrücklich das Proporz- oder Majorzprinzip für anwendbar erklärt - systemfremde Effekte hervorrufen (BGE 140 I 394 E. 6.3).</w:t>
      </w:r>
    </w:p>
    <w:p>
      <w:r>
        <w:rPr>
          <w:b/>
        </w:rPr>
        <w:t>E. 3.3.2</w:t>
      </w:r>
    </w:p>
    <w:p>
      <w:r>
        <w:t>Wie Kantone hinsichtlich der Wahl ihrer Parlamente, sind auch Vorsorgestiftungen grundsätzlich - d.h. im Rahmen übergeordneter Bestimmungen - frei, das Verfahren für die Wahl der Vertretung der Arbeitnehmenden im paritätischen Organ bzw. über die Modalitäten der demokratischen Mitwirkung zu bestimmen. Ebenso wie die Kantone, nehmen sie mit der Ausgestaltung eine bewusste Wahl vor, die für den demokratischen Prozess von grundlegender Bedeutung ist und tragen sowohl für die Vor- als auch für die Nachteile ihre eigene Verantwortung (vgl. betreffend Kantone: BGE 140 I 394 E. 8.1; Urteil des BGer 1C_495/2017 vom 29. Juli 2019 E. 4.2). Eine bedeutsame Schranke bei der Ausgestaltung des Verfahrens für die Wahl der kantonalen Parlamente bildet Art. 34 BV, welchen die Beschwerdeführenden auch im vorliegenden Kontext als anwendbar (und verletzt) ansehen (vgl. E. 3.1). Art. 34 Abs. 1 BV gewährleistet die politischen Rechte (auf Bundes-, Kantons- und Gemeindeebene) in abstrakter Weise und ordnet die wesentlichen Grundzüge der demokratischen Partizipation im Allgemeinen. Die in Art. 34 Abs. 2 BV verankerte Wahl- und Abstimmungsfreiheit gibt den Stimmberechtigten Anspruch darauf, dass kein Abstimmungsergebnis anerkannt wird, das nicht den freien Willen der Stimmberechtigten zuverlässig und unverfälscht zum Ausdruck bringt (BGE 140 I 394 E. 8.2; Urteil des BGer 1C_495/2017 vom 29. Juli 2019 E. 4.3). Bestandteil von Art. 34 BV bildet die Wahlrechtsgleichheit, welche sich in drei Teilgehalte unterteilen lässt: Die Zählwertgleichheit verlangt, dass alle Stimmen formell gleichbehandelt werden. Differenzierungen des Stimmengewichts sind unzulässig. Stimmkraft- oder Stimmgewichtsgleichheit bedeutet, dass das Verhältnis zwischen der repräsentierten Bevölkerung und der zugeteilten Sitzzahl in den einzelnen Wahlkreisen möglichst gleich sein soll. Sodann soll die Erfolgswertgleichheit sicherstellen, dass allen Stimmen derselbe Erfolg zukommt, d.h. dass sie materiell und in gleicher Weise zum Wahlergebnis beitragen und bei der Mandatsverteilung berücksichtigt werden. Der Grundsatz der Zählwertgleichheit gilt gemäss bundesgerichtlicher Rechtsprechung absolut. Dagegen wird eine sachlich gerechtfertigte Einschränkung der Stimmkrafts- und der Erfolgswertgleichheit bis zu einem gewissen Grad zugelassen (BGE 140 I 394 E. 8.3; Urteil des BGer 1C_495/2017 vom 29. Juli 2019 E. 4.4). Auch wenn Art. 34 BV im vorliegenden Kontext nicht unmittelbar anwendbar ist, so kann die Bestimmung doch analog zur Prüfung der Frage herangezogen werden, ob die Ausgestaltung des in Frage stehenden Wahlreglements der Beschwerdegegnerin als rechtswesentlich mangelhaft einzustufen ist.</w:t>
      </w:r>
    </w:p>
    <w:p>
      <w:r>
        <w:rPr>
          <w:b/>
        </w:rPr>
        <w:t>E. 3.4</w:t>
      </w:r>
    </w:p>
    <w:p>
      <w:r>
        <w:t>Die Beschwerdeführenden rügen im Wesentlichen, durch den Umstand, dass die jeweilige Wahlliste der Gewerkschaft bzw. des Personalverbandes je nur fünf, die Liste der freien Kandidierenden jedoch auch mehr Kandidaten aufführen durfte, sei gegen "die allgemeinen Regeln" der Proporzwahl verstossen worden. Die gewählte Regelung sei nicht sachgerecht und führe zu Verzerrungen des Wählerwillens, womit der Grundsatz der Gewährleistung des unverfälschten Wählerwillens gemäss Art. 34 Abs. 2 verletzt worden sei. Es gebe keinen sachlichen Grund dafür, dass sich die ungebundenen Versicherten nicht - gleich wie die Gewerkschaften - in Listen à fünf Kandidaten organisieren müssten, wie dies bei Proporzwahlen üblich sei. Durch die verschieden ausgestalteten Wahllisten würden die Kandidierenden der Gewerkschaften benachteiligt, denn das persönliche Umfeld von zehn Kandidaten (so viele freie Kandidierende stellten sich zur Wahl) sei vermutungsweise grösser als jenes von nur fünf Kandidaten. Damit sei das Potential zur Rekrutierung von Wählerinnen und Wählern der Wahlliste der freien Kandidaturen erheblich grösser gewesen als jenes für die gewerkschaftlichen Listen. Diese ungleiche Behandlung verletze den Rechtsgleichheitsgrundsatz nach Art. 8 BV. Der freie Wählerwille werde sodann dadurch verzerrt, dass die Wählenden einzelner freier Kandidaten durch deren Zusammenfassung auf einer einzigen Liste gezwungen würden, mit den durch sie generierten (Listen-)Stimmen andere freie Kandidierende zu unterstützen, die allenfalls eine vollständig andere programmatische Ausrichtung hätten. Weiter bemängeln die Beschwerdeführenden, das Wahlsystem erweise sich namentlich für Wahlberechtigte mit einem eher tiefen Bildungsgrad als zu kompliziert.</w:t>
      </w:r>
    </w:p>
    <w:p>
      <w:r>
        <w:rPr>
          <w:b/>
        </w:rPr>
        <w:t>E. 3.5.1</w:t>
      </w:r>
    </w:p>
    <w:p>
      <w:r>
        <w:t>Die Beschwerdeführenden lassen bei ihrer Argumentation namentlich ausser Acht, dass Majorz- und Proporzsysteme nicht zwangsläufig idealtypisch geregelt und auch nicht so angewendet werden müssen. Wie vorangehend in Erwägung 3.3.1 dargelegt, sind Durchbrechungen und Mischsysteme möglich und zulässig. Im vorliegenden Fall ist zwar nicht ausgeschlossen, dass die Liste der freien Kandidierenden durch die grössere Auswahl an Personen und der Überlegung, dass anzunehmen ist, dass zehn Kandidierende ein grösseres Umfeld haben als fünf Kandidierende, geeignet sein könnte, verhältnismässig mehr Listenstimmen zu generieren. Darin ist jedoch nicht ein derart gravierender Systemfehler zu sehen, dass die Wahl für ungültig zu erklären und zu wiederholen wäre. Zum einen wird nämlich - was wesentlich ist - die in Erwägung 3.3.2 genannte Zählwertgleichheit nicht verletzt (jeder Stimmende hat maximal fünf Stimmen zu vergeben; vgl. Sachverhalt Bst. A.f). Zum anderen ist nicht zu vernachlässigen, dass dem allfälligen Vorteil einer längeren Liste der freien Kandidierenden der Vorteil der Gewerkschaften bzw. Personalverbände gegenübersteht, die durch ihre professionelle Organisation ungleich effektivere Möglichkeiten zur Wählermobilisierung haben. Entgegen der unsubstantiierten Meinung der Beschwerdeführenden wird dieser gewichtige Vorteil nicht mit der Möglichkeit der Nutzung der sozialen Medien durch die freien Kandidierenden wettgemacht.</w:t>
      </w:r>
    </w:p>
    <w:p>
      <w:r>
        <w:rPr>
          <w:b/>
        </w:rPr>
        <w:t>E. 3.5.2</w:t>
      </w:r>
    </w:p>
    <w:p>
      <w:r>
        <w:t>Mit der Rüge, der freie Wählerwille werde dadurch verzerrt, dass bei Zusammenfassung aller freien Kandidaten auf einer Liste nicht zwangsläufig der Wunschkandidat gewählt werde, sondern allenfalls ein Kandidat mit völlig anderem Profil, zielen die Beschwerdeführenden ebenfalls ins Leere. Denn unabhängig davon, ob sich die freien Kandidierenden auf einer einzigen Wahlliste oder mittels Einzelkandidaturen (mit Listenverbindungen) zur Wahl stellen, ergibt sich die Konstellation, dass nicht zwangsläufig der jeweilige Wunschkandidat der wählenden Person gewählt wird. Dies ist bei Proporzwahlen systeminhärent.</w:t>
      </w:r>
    </w:p>
    <w:p>
      <w:r>
        <w:rPr>
          <w:b/>
        </w:rPr>
        <w:t>E. 3.5.3</w:t>
      </w:r>
    </w:p>
    <w:p>
      <w:r>
        <w:t>Zu berücksichtigen ist im Weiteren auch Folgendes: Vor Erlass des in Frage stehenden Wahlreglements wurde im Vorsorgereglement der Beschwerdegegnerin bestimmt, dass die Vertretung der Arbeitnehmenden sich aus vier Kandidaten der Gewerkschaft sowie einer Kandidatin des Personalverbandes zusammensetzt (Art. 106 Abs. 5 des Vorsorgereglements). Diese Bestimmung war von der Aufsichtsbehörde offenbar seit längerem unterschwellig mit der Begründung bemängelt worden, bei dieser Sitzverteilung würde die Gesamtheit der Aktiv-Versicherten nicht korrekt repräsentiert, zumal der Organisationsgrad durch die Personalverbände knapp weniger als 50% ausmache. Signalisiert wurde, dass bei einer Anpassung der Bestimmung über die Besetzung des Stiftungsrats eine derartige Lösung, gemäss welcher alle Sitze der Arbeitnehmervertretung von Gewerkschaft und Personalverband besetzt werden, nicht mehr akzeptiert würde. Ende 2015 beschloss der Stiftungsrat dann einstimmig, ein Wahlreglement zu erlassen (vgl. Sachverhalt Bst. A.a). Dieses sollte sicherstellen, dass die verschiedenen Gruppen von Aktiv-Versicherten (durch Gewerkschaft vertretene, durch Personalverband vertretene sowie nicht organisierte Versicherte) proportional zu ihrer Stärke im Stiftungsrat vertreten sind. Gewählt wurden anlässlich der ersten Wahl in Anwendung des betreffenden Wahlreglements schliesslich drei Kandidaten der Gewerkschaft, eine Kandidatin des Personalverbandes sowie eine freie Kandidatin (vgl. Sachverhalt Bst. A.f). Angesichts des Umstandes, dass 50% der Aktiv-Versicherten nicht organisiert sind und diese Gruppe auch im Stiftungsrat vertreten sein sollte, ist ein Sitz als legitimes Minimum zu betrachten. Rein proportional wären gar zwei Sitze als nicht übermässig zu werten.</w:t>
      </w:r>
    </w:p>
    <w:p>
      <w:r>
        <w:rPr>
          <w:b/>
        </w:rPr>
        <w:t>E. 3.5.4</w:t>
      </w:r>
    </w:p>
    <w:p>
      <w:r>
        <w:t>Nicht gefolgt werden kann sodann der Rüge der Beschwerdeführenden, das Wahlsystem und die Wahlanleitung seien zu kompliziert gewesen. Der Ablauf und die Anforderungen waren mit dem, was sich Schweizer Wahlberechtigte gewohnt sind, ohne Weiteres vergleichbar. Abgesehen davon, war den offiziellen "Erklärungen zu den Wahlen der Vertretung der Arbeitnehmenden in den Stiftungsrat der Pensionskasse" auch zu entnehmen, an welche Stelle man sich bei Fragen zu den Wahlen wenden könne. Hinzu kommt, dass die Gewerkschaft ihren Mitgliedern ein umfangreiches Dokument mit dem Titel «[...]» mit Informationen, Hinweisen und Anmerkungen zu den Stiftungsratswahlen Pensionskasse 2017 hat zukommen lassen, welches genauste Anleitungen enthielt, wie im Sinne der Gewerkschaft abgestimmt werden kann.</w:t>
      </w:r>
    </w:p>
    <w:p>
      <w:r>
        <w:rPr>
          <w:b/>
        </w:rPr>
        <w:t>E. 3.5.5</w:t>
      </w:r>
    </w:p>
    <w:p>
      <w:r>
        <w:t>Vorstellbar ist, dass ein anderes - je nach Position subjektiv betrachtet - allenfalls auch besseres als das angefochtene Wahlreglement ersonnen werden kann. Wie die Vorinstanz jedoch bereits festgehalten hat, hat die Beschwerdegegnerin im vorliegenden Fall bei der Ausgestaltung des angefochtenen Wahlreglements ihr Ermessen nicht überschritten oder missbraucht. Entsprechend steht es auch dem Gericht nicht zu, einzugreifen (vgl. vorangehend E. 1.6). Aus dem Gesagten ergibt sich, dass die im Herbst 2017 durchgeführte Wahl der Arbeitnehmervertretung in den Stiftungsrat der Beschwerdegegnerin - entgegen der Überzeugung der Beschwerdeführenden (vgl. Sachverhalt Bst. B.a) - nicht für ungültig zu erklären bzw. nicht zu wiederholen ist. Auf die Edition allfälliger weiterer Akten zur Wahl bzw. aller Wahlzettel (vgl. Sachverhalt Bst. B.a), kann daher in antizipierter Beweiswürdigung verzichtet werden (vgl. E. 1.7.2).</w:t>
      </w:r>
    </w:p>
    <w:p>
      <w:r>
        <w:rPr>
          <w:b/>
        </w:rPr>
        <w:t>E. 3.5.6</w:t>
      </w:r>
    </w:p>
    <w:p>
      <w:r>
        <w:t>Sodann ist die angefochtene Verfügung auch in Bezug auf die weiteren Vorbringen der Beschwerdeführenden nicht zu beanstanden. Auch wenn zu befürworten wäre, dass alle betroffenen Akteure in entsprechende Arbeiten eingebunden werden, ist der Entscheid der Vorinstanz, es liege im Ermessen der Pensionskasse, ob sie im Rahmen einer Arbeitsgruppenbildung (unter Einbindung der Gewerkschaft) das Wahlreglement weiterentwickeln wolle, nicht zu bemängeln. Die Aufsichtsbehörde hat der Pensionskasse zu Recht keine entsprechende Weisung erteilt. Ebenso ist die Vorinstanz - mangels Beschwer - zu Recht nicht auf das Ausstandsbegehren betreffend den zwischenzeitlich in den Ruhestand getretenen Aufsichtsexperten eingetreten. Bei diesem Ergebnis ist der Abweisung des Begehrens der Beschwerdeführenden, die bisherige Arbeitnehmervertretung im Stiftungsrat solle bis zum rechtskräftigen Entscheid in der Sache im Amt bleiben, nicht zu beanstanden.</w:t>
      </w:r>
    </w:p>
    <w:p>
      <w:r>
        <w:rPr>
          <w:b/>
        </w:rPr>
        <w:t>E. 3.5.7</w:t>
      </w:r>
    </w:p>
    <w:p>
      <w:r>
        <w:t>Nach dem Dargelegten ist die Beschwerde vollumfänglich abzuweisen.</w:t>
      </w:r>
    </w:p>
    <w:p>
      <w:r>
        <w:rPr>
          <w:b/>
        </w:rPr>
        <w:t>E. 4.1</w:t>
      </w:r>
    </w:p>
    <w:p>
      <w:r>
        <w:t>Ausgangsgemäss haben die unterliegenden Beschwerdeführenden die Verfahrenskosten zu tragen (Art. 63 Abs. 1 VwVG). Diese sind auf Fr. 2'400.--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